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1756"/>
        <w:gridCol w:w="1756"/>
        <w:gridCol w:w="1841"/>
        <w:gridCol w:w="1699"/>
        <w:gridCol w:w="1756"/>
      </w:tblGrid>
      <w:tr w:rsidR="001F5C56" w:rsidTr="007C58ED">
        <w:tc>
          <w:tcPr>
            <w:tcW w:w="1756" w:type="dxa"/>
          </w:tcPr>
          <w:p w:rsidR="001F5C56" w:rsidRDefault="001F5C56">
            <w:r>
              <w:t>Âges chronologiques</w:t>
            </w:r>
          </w:p>
        </w:tc>
        <w:tc>
          <w:tcPr>
            <w:tcW w:w="1756" w:type="dxa"/>
          </w:tcPr>
          <w:p w:rsidR="001F5C56" w:rsidRDefault="001F5C56">
            <w:r>
              <w:t>Déficience profonde</w:t>
            </w:r>
          </w:p>
          <w:p w:rsidR="001F5C56" w:rsidRPr="006101CB" w:rsidRDefault="001F5C56">
            <w:r>
              <w:t>QI&lt;25</w:t>
            </w:r>
            <w:r w:rsidR="00B53AA7">
              <w:t xml:space="preserve"> </w:t>
            </w:r>
            <w:r>
              <w:t>(-5</w:t>
            </w:r>
            <w:r w:rsidR="006101CB">
              <w:t>σ</w:t>
            </w:r>
            <w:r w:rsidR="00B53AA7">
              <w:t>)</w:t>
            </w:r>
          </w:p>
        </w:tc>
        <w:tc>
          <w:tcPr>
            <w:tcW w:w="1841" w:type="dxa"/>
          </w:tcPr>
          <w:p w:rsidR="001F5C56" w:rsidRDefault="007C58ED" w:rsidP="00B53AA7">
            <w:pPr>
              <w:jc w:val="center"/>
            </w:pPr>
            <w:r>
              <w:t xml:space="preserve">Déficience </w:t>
            </w:r>
            <w:r w:rsidR="001F5C56">
              <w:t>sévère</w:t>
            </w:r>
          </w:p>
          <w:p w:rsidR="00B53AA7" w:rsidRDefault="00B53AA7" w:rsidP="00B53AA7">
            <w:r>
              <w:t>25&lt;QI&lt;40 (-4σ)</w:t>
            </w:r>
          </w:p>
        </w:tc>
        <w:tc>
          <w:tcPr>
            <w:tcW w:w="1681" w:type="dxa"/>
          </w:tcPr>
          <w:p w:rsidR="001F5C56" w:rsidRDefault="001F5C56">
            <w:r>
              <w:t>Déficience modérée</w:t>
            </w:r>
          </w:p>
          <w:p w:rsidR="00B53AA7" w:rsidRDefault="00B53AA7" w:rsidP="00B53AA7">
            <w:r>
              <w:t>40&lt;QI&lt;55 (-3σ)</w:t>
            </w:r>
          </w:p>
        </w:tc>
        <w:tc>
          <w:tcPr>
            <w:tcW w:w="1756" w:type="dxa"/>
          </w:tcPr>
          <w:p w:rsidR="001F5C56" w:rsidRDefault="001F5C56">
            <w:r>
              <w:t>Déficience légère</w:t>
            </w:r>
          </w:p>
          <w:p w:rsidR="00B53AA7" w:rsidRDefault="00B53AA7">
            <w:r>
              <w:t>55&lt;QI&lt;70 (-2σ)</w:t>
            </w:r>
          </w:p>
        </w:tc>
      </w:tr>
      <w:tr w:rsidR="001F5C56" w:rsidTr="007C58ED">
        <w:tc>
          <w:tcPr>
            <w:tcW w:w="1756" w:type="dxa"/>
          </w:tcPr>
          <w:p w:rsidR="001F5C56" w:rsidRDefault="00B53AA7">
            <w:r>
              <w:t>0 à 5 ans</w:t>
            </w:r>
          </w:p>
          <w:p w:rsidR="00B53AA7" w:rsidRDefault="00B53AA7">
            <w:r>
              <w:t>Maturation et développement</w:t>
            </w:r>
          </w:p>
        </w:tc>
        <w:tc>
          <w:tcPr>
            <w:tcW w:w="1756" w:type="dxa"/>
          </w:tcPr>
          <w:p w:rsidR="001F5C56" w:rsidRDefault="00B53AA7">
            <w:r>
              <w:t>Retard sévère; capacité minimale de fonctionnement dans les domaines sensori-moteurs.</w:t>
            </w:r>
          </w:p>
        </w:tc>
        <w:tc>
          <w:tcPr>
            <w:tcW w:w="1841" w:type="dxa"/>
          </w:tcPr>
          <w:p w:rsidR="001F5C56" w:rsidRDefault="00656972">
            <w:r>
              <w:t>Développement moteur pauvre; langage minimal; manque d’autonomie; communication pauvre.</w:t>
            </w:r>
          </w:p>
        </w:tc>
        <w:tc>
          <w:tcPr>
            <w:tcW w:w="1681" w:type="dxa"/>
          </w:tcPr>
          <w:p w:rsidR="001F5C56" w:rsidRDefault="007C58ED">
            <w:r>
              <w:t>Aptitude  à la communication; conscience sociale existante mais restreinte; développement moteur suffisant; autonomie restreinte; surveillance nécessaire</w:t>
            </w:r>
          </w:p>
        </w:tc>
        <w:tc>
          <w:tcPr>
            <w:tcW w:w="1756" w:type="dxa"/>
          </w:tcPr>
          <w:p w:rsidR="001F5C56" w:rsidRDefault="008E214A">
            <w:r>
              <w:t>Possibilité d’habiletés de socialisation et de communication; altération minime dans les domaines sensori-moteurs; non distinctifs des enfants normaux.</w:t>
            </w:r>
          </w:p>
        </w:tc>
      </w:tr>
      <w:tr w:rsidR="001F5C56" w:rsidTr="007C58ED">
        <w:tc>
          <w:tcPr>
            <w:tcW w:w="1756" w:type="dxa"/>
          </w:tcPr>
          <w:p w:rsidR="001F5C56" w:rsidRDefault="00B53AA7">
            <w:r>
              <w:t>6 à 21 ans</w:t>
            </w:r>
          </w:p>
          <w:p w:rsidR="00B53AA7" w:rsidRDefault="00B53AA7">
            <w:r>
              <w:t>Apprentissage et éducation</w:t>
            </w:r>
          </w:p>
        </w:tc>
        <w:tc>
          <w:tcPr>
            <w:tcW w:w="1756" w:type="dxa"/>
          </w:tcPr>
          <w:p w:rsidR="001F5C56" w:rsidRDefault="00B53AA7" w:rsidP="00B53AA7">
            <w:r>
              <w:t>Présence d’un certain développement moteur ; réponse à un entraînement minimal ou limité à l’autonomie personnelle.</w:t>
            </w:r>
          </w:p>
        </w:tc>
        <w:tc>
          <w:tcPr>
            <w:tcW w:w="1841" w:type="dxa"/>
          </w:tcPr>
          <w:p w:rsidR="001F5C56" w:rsidRDefault="00656972">
            <w:r>
              <w:t>Possibilité de communication, entraînement aux habitudes d’hygiène; entraînement par routine; ne dépasse pas la 1</w:t>
            </w:r>
            <w:r w:rsidRPr="00656972">
              <w:rPr>
                <w:vertAlign w:val="superscript"/>
              </w:rPr>
              <w:t>re</w:t>
            </w:r>
            <w:r>
              <w:t xml:space="preserve"> ou la 2</w:t>
            </w:r>
            <w:r w:rsidRPr="00656972">
              <w:rPr>
                <w:vertAlign w:val="superscript"/>
              </w:rPr>
              <w:t>e</w:t>
            </w:r>
            <w:r>
              <w:t xml:space="preserve"> année scolaire</w:t>
            </w:r>
          </w:p>
        </w:tc>
        <w:tc>
          <w:tcPr>
            <w:tcW w:w="1681" w:type="dxa"/>
          </w:tcPr>
          <w:p w:rsidR="001F5C56" w:rsidRDefault="007C58ED">
            <w:r>
              <w:t>Possibilité de s</w:t>
            </w:r>
            <w:r w:rsidR="00D27DA1">
              <w:t>ocialisation; atteinte d’une 4</w:t>
            </w:r>
            <w:r w:rsidR="00D27DA1" w:rsidRPr="00D27DA1">
              <w:rPr>
                <w:vertAlign w:val="superscript"/>
              </w:rPr>
              <w:t>e</w:t>
            </w:r>
            <w:r w:rsidR="00D27DA1">
              <w:t xml:space="preserve"> année en éducation spécialisée; apprentissage et déplacements autonomes dans des endroits familiers.</w:t>
            </w:r>
          </w:p>
        </w:tc>
        <w:tc>
          <w:tcPr>
            <w:tcW w:w="1756" w:type="dxa"/>
          </w:tcPr>
          <w:p w:rsidR="001F5C56" w:rsidRPr="008D4161" w:rsidRDefault="008E214A" w:rsidP="008E214A">
            <w:r w:rsidRPr="008D4161">
              <w:t>Acquisition des connaissances de 6</w:t>
            </w:r>
            <w:r w:rsidRPr="008D4161">
              <w:rPr>
                <w:vertAlign w:val="superscript"/>
              </w:rPr>
              <w:t>e</w:t>
            </w:r>
            <w:r w:rsidRPr="008D4161">
              <w:t xml:space="preserve"> année à la fin de l’adolescence mais pas de matières abstraites du secondaire; capacité d’apprentissage </w:t>
            </w:r>
          </w:p>
          <w:p w:rsidR="008E214A" w:rsidRPr="008D4161" w:rsidRDefault="008E214A" w:rsidP="008E214A">
            <w:r w:rsidRPr="008D4161">
              <w:t>Spécialisé dans un métier; conformité sociale.</w:t>
            </w:r>
            <w:bookmarkStart w:id="0" w:name="_GoBack"/>
            <w:bookmarkEnd w:id="0"/>
          </w:p>
        </w:tc>
      </w:tr>
      <w:tr w:rsidR="001F5C56" w:rsidTr="007C58ED">
        <w:tc>
          <w:tcPr>
            <w:tcW w:w="1756" w:type="dxa"/>
          </w:tcPr>
          <w:p w:rsidR="001F5C56" w:rsidRDefault="00B53AA7">
            <w:r>
              <w:t>22 ans et plus</w:t>
            </w:r>
          </w:p>
          <w:p w:rsidR="00B53AA7" w:rsidRDefault="00B53AA7">
            <w:r>
              <w:t>Adaptation sociale et professionnelle</w:t>
            </w:r>
          </w:p>
        </w:tc>
        <w:tc>
          <w:tcPr>
            <w:tcW w:w="1756" w:type="dxa"/>
          </w:tcPr>
          <w:p w:rsidR="001F5C56" w:rsidRDefault="00656972">
            <w:r>
              <w:t>Présence d’un certain développement de la motricité et du langage; prise en charge et autonomie très limitée.</w:t>
            </w:r>
          </w:p>
        </w:tc>
        <w:tc>
          <w:tcPr>
            <w:tcW w:w="1841" w:type="dxa"/>
          </w:tcPr>
          <w:p w:rsidR="001F5C56" w:rsidRDefault="00656972" w:rsidP="00656972">
            <w:r>
              <w:t>Possibilité d’autonomie partielle et sous surveillance totale; possibilité d’habiletés minimales de protection personnelle.</w:t>
            </w:r>
          </w:p>
        </w:tc>
        <w:tc>
          <w:tcPr>
            <w:tcW w:w="1681" w:type="dxa"/>
          </w:tcPr>
          <w:p w:rsidR="001F5C56" w:rsidRDefault="00D27DA1" w:rsidP="00D27DA1">
            <w:r>
              <w:t>Possibilité d’autonomie dans un atelier protégé; nécessite surveillance et directives en cas de stress sociaux et économiques légers.</w:t>
            </w:r>
          </w:p>
        </w:tc>
        <w:tc>
          <w:tcPr>
            <w:tcW w:w="1756" w:type="dxa"/>
          </w:tcPr>
          <w:p w:rsidR="001F5C56" w:rsidRDefault="00B20E33">
            <w:r>
              <w:t>Possibilité d’insertion sociale et professionnelle menant à une autonomie minimale; besoin de conseils en cas de stress sociaux et économiques inhabituels.</w:t>
            </w:r>
          </w:p>
        </w:tc>
      </w:tr>
    </w:tbl>
    <w:p w:rsidR="005710B9" w:rsidRDefault="00B20E33">
      <w:r>
        <w:t xml:space="preserve">Tiré de </w:t>
      </w:r>
      <w:r w:rsidR="00F852E8" w:rsidRPr="00F852E8">
        <w:rPr>
          <w:u w:val="single"/>
        </w:rPr>
        <w:t>N</w:t>
      </w:r>
      <w:r w:rsidRPr="00F852E8">
        <w:rPr>
          <w:u w:val="single"/>
        </w:rPr>
        <w:t xml:space="preserve">europsychologie de </w:t>
      </w:r>
      <w:r w:rsidR="0044322F" w:rsidRPr="00F852E8">
        <w:rPr>
          <w:u w:val="single"/>
        </w:rPr>
        <w:t>l’enfant,</w:t>
      </w:r>
      <w:r w:rsidRPr="00F852E8">
        <w:rPr>
          <w:u w:val="single"/>
        </w:rPr>
        <w:t xml:space="preserve"> troubles développementaux et de l’apprentissage.</w:t>
      </w:r>
      <w:r>
        <w:t xml:space="preserve"> Francine  Lussier et Janine </w:t>
      </w:r>
      <w:proofErr w:type="spellStart"/>
      <w:r>
        <w:t>Flessas</w:t>
      </w:r>
      <w:proofErr w:type="spellEnd"/>
      <w:r>
        <w:t xml:space="preserve">, </w:t>
      </w:r>
      <w:proofErr w:type="spellStart"/>
      <w:r>
        <w:t>Dunod</w:t>
      </w:r>
      <w:proofErr w:type="spellEnd"/>
      <w:r w:rsidR="0044322F">
        <w:t>, 2001.</w:t>
      </w:r>
    </w:p>
    <w:sectPr w:rsidR="005710B9" w:rsidSect="005710B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7A" w:rsidRDefault="0058357A" w:rsidP="007C58ED">
      <w:pPr>
        <w:spacing w:after="0" w:line="240" w:lineRule="auto"/>
      </w:pPr>
      <w:r>
        <w:separator/>
      </w:r>
    </w:p>
  </w:endnote>
  <w:endnote w:type="continuationSeparator" w:id="0">
    <w:p w:rsidR="0058357A" w:rsidRDefault="0058357A" w:rsidP="007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7A" w:rsidRDefault="0058357A" w:rsidP="007C58ED">
      <w:pPr>
        <w:spacing w:after="0" w:line="240" w:lineRule="auto"/>
      </w:pPr>
      <w:r>
        <w:separator/>
      </w:r>
    </w:p>
  </w:footnote>
  <w:footnote w:type="continuationSeparator" w:id="0">
    <w:p w:rsidR="0058357A" w:rsidRDefault="0058357A" w:rsidP="007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ED" w:rsidRDefault="007C58ED">
    <w:pPr>
      <w:pStyle w:val="En-tte"/>
      <w:rPr>
        <w:b/>
      </w:rPr>
    </w:pPr>
    <w:r w:rsidRPr="007C58ED">
      <w:rPr>
        <w:b/>
      </w:rPr>
      <w:t>Niveau de fonctionnement dans la déficience intellectuelle</w:t>
    </w:r>
  </w:p>
  <w:p w:rsidR="007C58ED" w:rsidRPr="007C58ED" w:rsidRDefault="007C58ED">
    <w:pPr>
      <w:pStyle w:val="En-tte"/>
      <w:rPr>
        <w:b/>
      </w:rPr>
    </w:pPr>
  </w:p>
  <w:p w:rsidR="007C58ED" w:rsidRDefault="007C58ED">
    <w:pPr>
      <w:pStyle w:val="En-tte"/>
    </w:pPr>
    <w:r>
      <w:t>Comme le degré de déficience se définit selon le comportement fonctionnel du sujet, voici les caractéristiques développementales des différentes catégories de déficience en tenant compte des niveaux de fonctionnement intellectuel, scolaire, social et, éventuellement, professionnel.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56"/>
    <w:rsid w:val="001742DA"/>
    <w:rsid w:val="001F5C56"/>
    <w:rsid w:val="003F715D"/>
    <w:rsid w:val="0044322F"/>
    <w:rsid w:val="00466213"/>
    <w:rsid w:val="005710B9"/>
    <w:rsid w:val="0058357A"/>
    <w:rsid w:val="00601826"/>
    <w:rsid w:val="006101CB"/>
    <w:rsid w:val="00656972"/>
    <w:rsid w:val="007C58ED"/>
    <w:rsid w:val="008A2877"/>
    <w:rsid w:val="008D4161"/>
    <w:rsid w:val="008E214A"/>
    <w:rsid w:val="0096283B"/>
    <w:rsid w:val="009E3540"/>
    <w:rsid w:val="00B20E33"/>
    <w:rsid w:val="00B53AA7"/>
    <w:rsid w:val="00D27DA1"/>
    <w:rsid w:val="00F12DB1"/>
    <w:rsid w:val="00F852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C58ED"/>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58ED"/>
  </w:style>
  <w:style w:type="paragraph" w:styleId="Pieddepage">
    <w:name w:val="footer"/>
    <w:basedOn w:val="Normal"/>
    <w:link w:val="PieddepageCar"/>
    <w:uiPriority w:val="99"/>
    <w:semiHidden/>
    <w:unhideWhenUsed/>
    <w:rsid w:val="007C58E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7C5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C58ED"/>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58ED"/>
  </w:style>
  <w:style w:type="paragraph" w:styleId="Pieddepage">
    <w:name w:val="footer"/>
    <w:basedOn w:val="Normal"/>
    <w:link w:val="PieddepageCar"/>
    <w:uiPriority w:val="99"/>
    <w:semiHidden/>
    <w:unhideWhenUsed/>
    <w:rsid w:val="007C58E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7C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6BE3-F18B-4FA8-B268-BA4C35BD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1709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ejc</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P225-Lenovo-9174AC2</dc:creator>
  <cp:lastModifiedBy>Utilisateur Windows</cp:lastModifiedBy>
  <cp:revision>2</cp:revision>
  <cp:lastPrinted>2011-06-28T13:49:00Z</cp:lastPrinted>
  <dcterms:created xsi:type="dcterms:W3CDTF">2014-06-05T17:45:00Z</dcterms:created>
  <dcterms:modified xsi:type="dcterms:W3CDTF">2014-06-05T17:45:00Z</dcterms:modified>
</cp:coreProperties>
</file>