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497B" w14:textId="11E78014" w:rsidR="00170CAF" w:rsidRDefault="00BB3DD6" w:rsidP="00BB3DD6">
      <w:pPr>
        <w:jc w:val="center"/>
        <w:rPr>
          <w:b/>
        </w:rPr>
      </w:pPr>
      <w:r w:rsidRPr="00B120FE">
        <w:rPr>
          <w:b/>
        </w:rPr>
        <w:t>Favoriser le développement des id</w:t>
      </w:r>
      <w:r w:rsidR="006D706D" w:rsidRPr="00B120FE">
        <w:rPr>
          <w:b/>
        </w:rPr>
        <w:t>ées mathématiques de nos élèves pour les rendre flexibles</w:t>
      </w:r>
    </w:p>
    <w:p w14:paraId="0068FBD4" w14:textId="4433DBD1" w:rsidR="00EE70C0" w:rsidRDefault="00DC44A7" w:rsidP="005A404A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3BBFDD4B" wp14:editId="08875D44">
            <wp:simplePos x="0" y="0"/>
            <wp:positionH relativeFrom="column">
              <wp:posOffset>7400925</wp:posOffset>
            </wp:positionH>
            <wp:positionV relativeFrom="paragraph">
              <wp:posOffset>133350</wp:posOffset>
            </wp:positionV>
            <wp:extent cx="1859915" cy="1190625"/>
            <wp:effectExtent l="0" t="0" r="6985" b="9525"/>
            <wp:wrapSquare wrapText="bothSides"/>
            <wp:docPr id="5" name="Image 5" descr="https://se.csbe.qc.ca/mathprimaire/files/2020/10/tibas-300x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.csbe.qc.ca/mathprimaire/files/2020/10/tibas-300x1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01B" w:rsidRPr="005A404A">
        <w:t xml:space="preserve">À l’automne 2020, les équipes-écoles du CSSBE se sont penchées sur la progression des apprentissages </w:t>
      </w:r>
      <w:r w:rsidR="00EE70C0">
        <w:t>mathématique</w:t>
      </w:r>
      <w:r w:rsidR="004B0921">
        <w:t>s</w:t>
      </w:r>
      <w:r w:rsidR="00C6101B" w:rsidRPr="005A404A">
        <w:t xml:space="preserve">.  Quelques concepts </w:t>
      </w:r>
      <w:r w:rsidR="005A404A" w:rsidRPr="005A404A">
        <w:t xml:space="preserve">et processus ont </w:t>
      </w:r>
      <w:r w:rsidR="00D32E13">
        <w:t>demandé une attention particulière dans le but d’assurer une meilleure compréhension</w:t>
      </w:r>
      <w:r w:rsidR="00EE70C0">
        <w:t xml:space="preserve"> de la part des élèves</w:t>
      </w:r>
      <w:r w:rsidR="00D32E13">
        <w:t xml:space="preserve">. </w:t>
      </w:r>
      <w:r w:rsidR="00DE4340">
        <w:t>Ce document pourrait permettre à votre équipe d’identifier les interventions eff</w:t>
      </w:r>
      <w:r w:rsidR="003A1013">
        <w:t xml:space="preserve">icaces </w:t>
      </w:r>
      <w:r>
        <w:t>p</w:t>
      </w:r>
      <w:r w:rsidR="00DE4340">
        <w:t xml:space="preserve">our éviter les bris de compréhension au fil des cycles. </w:t>
      </w:r>
      <w:r w:rsidR="00D32E13">
        <w:t xml:space="preserve"> </w:t>
      </w:r>
      <w:r>
        <w:t xml:space="preserve">Ces interventions développant la pensée mathématique pourraient parfois être initiées par le jeu et l’observation au préscolaire. </w:t>
      </w:r>
      <w:r w:rsidR="00BC6CFF">
        <w:t xml:space="preserve">La littérature jeunesse aussi offre de belles occasions de confirmer la présence des mathématiques dans notre environnement. </w:t>
      </w:r>
    </w:p>
    <w:p w14:paraId="443DC49E" w14:textId="5216EA84" w:rsidR="00C6101B" w:rsidRDefault="00EE70C0" w:rsidP="005A404A">
      <w:r>
        <w:t>En plus des ressources disponibles en librairie -</w:t>
      </w:r>
      <w:r w:rsidRPr="00EE70C0">
        <w:rPr>
          <w:i/>
        </w:rPr>
        <w:t>L’enseignement des mathématiques</w:t>
      </w:r>
      <w:r>
        <w:t xml:space="preserve">, Van de </w:t>
      </w:r>
      <w:proofErr w:type="spellStart"/>
      <w:r>
        <w:t>Walle</w:t>
      </w:r>
      <w:proofErr w:type="spellEnd"/>
      <w:r>
        <w:t xml:space="preserve"> </w:t>
      </w:r>
      <w:r w:rsidR="00DC44A7">
        <w:t>(</w:t>
      </w:r>
      <w:r>
        <w:t xml:space="preserve">2007), </w:t>
      </w:r>
      <w:r w:rsidRPr="00EE70C0">
        <w:rPr>
          <w:i/>
        </w:rPr>
        <w:t>Grandes idées pour l’enseignement des mathématiques</w:t>
      </w:r>
      <w:r>
        <w:t xml:space="preserve">,  M. Small (2018), etc.- et du site internet des services éducatifs du CSSBE - </w:t>
      </w:r>
      <w:hyperlink r:id="rId9" w:history="1">
        <w:r w:rsidRPr="006A2A91">
          <w:rPr>
            <w:rStyle w:val="Lienhypertexte"/>
          </w:rPr>
          <w:t>https://se.csbe.qc.ca/mathprimaire/</w:t>
        </w:r>
      </w:hyperlink>
      <w:r>
        <w:t xml:space="preserve"> - , il serait intéressant de consulter </w:t>
      </w:r>
      <w:hyperlink r:id="rId10" w:history="1">
        <w:r w:rsidRPr="00DC44A7">
          <w:rPr>
            <w:rStyle w:val="Lienhypertexte"/>
          </w:rPr>
          <w:t>La progression des apprentissages en version amendée</w:t>
        </w:r>
      </w:hyperlink>
      <w:r w:rsidR="00DC44A7">
        <w:t xml:space="preserve"> (2018</w:t>
      </w:r>
      <w:r>
        <w:t xml:space="preserve">) et le </w:t>
      </w:r>
      <w:hyperlink r:id="rId11" w:history="1">
        <w:r w:rsidRPr="00DC44A7">
          <w:rPr>
            <w:rStyle w:val="Lienhypertexte"/>
          </w:rPr>
          <w:t xml:space="preserve">Schéma synthèse des concepts </w:t>
        </w:r>
        <w:r w:rsidR="00DC44A7" w:rsidRPr="00DC44A7">
          <w:rPr>
            <w:rStyle w:val="Lienhypertexte"/>
          </w:rPr>
          <w:t>et processus</w:t>
        </w:r>
      </w:hyperlink>
      <w:r w:rsidR="00DC44A7">
        <w:t xml:space="preserve"> (2020).</w:t>
      </w:r>
    </w:p>
    <w:p w14:paraId="5C97FC75" w14:textId="4DBCFF93" w:rsidR="00EE70C0" w:rsidRDefault="00EE70C0" w:rsidP="005A404A"/>
    <w:p w14:paraId="66A599E5" w14:textId="09621333" w:rsidR="00EE70C0" w:rsidRDefault="00EE70C0" w:rsidP="005A404A">
      <w:r>
        <w:t xml:space="preserve">Les </w:t>
      </w:r>
      <w:r w:rsidRPr="00DC3E3E">
        <w:rPr>
          <w:b/>
        </w:rPr>
        <w:t>concepts en caractères gras</w:t>
      </w:r>
      <w:r>
        <w:t xml:space="preserve"> sont des concepts dont le développement s’étire sur les 6 années du primaire.</w:t>
      </w:r>
      <w:r w:rsidR="00F86A41">
        <w:t xml:space="preserve">   </w:t>
      </w:r>
      <w:bookmarkStart w:id="0" w:name="_GoBack"/>
      <w:bookmarkEnd w:id="0"/>
      <w:r w:rsidR="00F86A41" w:rsidRPr="00F86A41">
        <w:rPr>
          <w:highlight w:val="yellow"/>
        </w:rPr>
        <w:t>PANDÉMIE 20-21</w:t>
      </w:r>
    </w:p>
    <w:p w14:paraId="12C7F0F5" w14:textId="17A8C694" w:rsidR="00D32E13" w:rsidRDefault="00D32E13" w:rsidP="00DE4340">
      <w:pPr>
        <w:pStyle w:val="Paragraphedeliste"/>
        <w:numPr>
          <w:ilvl w:val="0"/>
          <w:numId w:val="3"/>
        </w:numPr>
      </w:pPr>
      <w:r w:rsidRPr="00DE4340">
        <w:rPr>
          <w:b/>
        </w:rPr>
        <w:t>Sens du nombre</w:t>
      </w:r>
      <w:r w:rsidR="00DE4340" w:rsidRPr="00DE4340">
        <w:rPr>
          <w:b/>
        </w:rPr>
        <w:t xml:space="preserve"> (naturel,</w:t>
      </w:r>
      <w:r w:rsidR="00DE4340">
        <w:t xml:space="preserve"> décimal, fraction)</w:t>
      </w:r>
      <w:r>
        <w:t xml:space="preserve"> : </w:t>
      </w:r>
      <w:r w:rsidRPr="00DC3E3E">
        <w:rPr>
          <w:b/>
        </w:rPr>
        <w:t xml:space="preserve">croissant, décroissant, valeur de position, </w:t>
      </w:r>
      <w:r w:rsidR="00602CD7">
        <w:rPr>
          <w:b/>
        </w:rPr>
        <w:t xml:space="preserve">comparer, </w:t>
      </w:r>
      <w:r w:rsidRPr="00DC3E3E">
        <w:rPr>
          <w:b/>
        </w:rPr>
        <w:t>représentation</w:t>
      </w:r>
    </w:p>
    <w:p w14:paraId="7E443AF5" w14:textId="62F570F0" w:rsidR="00D32E13" w:rsidRDefault="00602CD7" w:rsidP="00D32E13">
      <w:pPr>
        <w:pStyle w:val="Paragraphedeliste"/>
        <w:numPr>
          <w:ilvl w:val="0"/>
          <w:numId w:val="3"/>
        </w:numPr>
      </w:pPr>
      <w:r w:rsidRPr="00602CD7">
        <w:rPr>
          <w:b/>
        </w:rPr>
        <w:t>Représenter une fraction</w:t>
      </w:r>
      <w:r>
        <w:rPr>
          <w:b/>
        </w:rPr>
        <w:t xml:space="preserve"> </w:t>
      </w:r>
      <w:r>
        <w:t>(surface, collection, longueur) et s</w:t>
      </w:r>
      <w:r w:rsidR="00734E76">
        <w:t>ens de la faction</w:t>
      </w:r>
      <w:r>
        <w:t xml:space="preserve"> </w:t>
      </w:r>
      <w:r w:rsidRPr="00F86A41">
        <w:rPr>
          <w:highlight w:val="yellow"/>
        </w:rPr>
        <w:t>(partage, division, rapport</w:t>
      </w:r>
      <w:r>
        <w:t>)</w:t>
      </w:r>
    </w:p>
    <w:p w14:paraId="3F6C8F1C" w14:textId="4C665E61" w:rsidR="00305D1B" w:rsidRDefault="00305D1B" w:rsidP="00305D1B">
      <w:pPr>
        <w:pStyle w:val="Paragraphedeliste"/>
        <w:numPr>
          <w:ilvl w:val="0"/>
          <w:numId w:val="3"/>
        </w:numPr>
        <w:spacing w:after="0" w:line="240" w:lineRule="auto"/>
      </w:pPr>
      <w:r w:rsidRPr="003A1013">
        <w:rPr>
          <w:b/>
        </w:rPr>
        <w:t>Traduire une situation</w:t>
      </w:r>
      <w:r>
        <w:rPr>
          <w:b/>
        </w:rPr>
        <w:t> </w:t>
      </w:r>
      <w:r w:rsidRPr="00305D1B">
        <w:rPr>
          <w:b/>
        </w:rPr>
        <w:t>: structures additives</w:t>
      </w:r>
      <w:proofErr w:type="gramStart"/>
      <w:r w:rsidRPr="00305D1B">
        <w:rPr>
          <w:b/>
        </w:rPr>
        <w:t> :comparaison</w:t>
      </w:r>
      <w:proofErr w:type="gramEnd"/>
      <w:r w:rsidRPr="00305D1B">
        <w:rPr>
          <w:b/>
        </w:rPr>
        <w:t>, transformation, réunion)</w:t>
      </w:r>
      <w:r>
        <w:t xml:space="preserve"> </w:t>
      </w:r>
      <w:r w:rsidRPr="00F86A41">
        <w:t>et structures multiplicatives</w:t>
      </w:r>
      <w:r w:rsidR="00F86A41" w:rsidRPr="00F86A41">
        <w:t xml:space="preserve"> </w:t>
      </w:r>
      <w:r w:rsidR="00F86A41">
        <w:rPr>
          <w:highlight w:val="yellow"/>
        </w:rPr>
        <w:t>1</w:t>
      </w:r>
      <w:r w:rsidR="00F86A41" w:rsidRPr="00F86A41">
        <w:rPr>
          <w:highlight w:val="yellow"/>
          <w:vertAlign w:val="superscript"/>
        </w:rPr>
        <w:t>er</w:t>
      </w:r>
      <w:r w:rsidR="00F86A41">
        <w:rPr>
          <w:highlight w:val="yellow"/>
        </w:rPr>
        <w:t xml:space="preserve"> </w:t>
      </w:r>
      <w:r w:rsidR="00F86A41" w:rsidRPr="00F86A41">
        <w:rPr>
          <w:highlight w:val="yellow"/>
        </w:rPr>
        <w:t>cycle</w:t>
      </w:r>
      <w:r>
        <w:t xml:space="preserve"> (concret, schéma, équation)</w:t>
      </w:r>
    </w:p>
    <w:p w14:paraId="4566B1E1" w14:textId="77777777" w:rsidR="00BE78B8" w:rsidRDefault="00BE78B8" w:rsidP="00BE78B8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Vocabulaire</w:t>
      </w:r>
    </w:p>
    <w:p w14:paraId="0FDF3E3D" w14:textId="67C686D5" w:rsidR="00D32E13" w:rsidRPr="00602CD7" w:rsidRDefault="00D32E13" w:rsidP="00305D1B">
      <w:pPr>
        <w:pStyle w:val="Paragraphedeliste"/>
        <w:numPr>
          <w:ilvl w:val="0"/>
          <w:numId w:val="3"/>
        </w:numPr>
        <w:rPr>
          <w:b/>
        </w:rPr>
      </w:pPr>
      <w:r w:rsidRPr="00602CD7">
        <w:rPr>
          <w:b/>
        </w:rPr>
        <w:t>Processus de calcul mental</w:t>
      </w:r>
      <w:r w:rsidR="0032166D">
        <w:rPr>
          <w:b/>
        </w:rPr>
        <w:t xml:space="preserve"> et répertoire mémorisé</w:t>
      </w:r>
      <w:r w:rsidR="00F86A41">
        <w:rPr>
          <w:b/>
        </w:rPr>
        <w:t xml:space="preserve"> </w:t>
      </w:r>
      <w:r w:rsidR="00F86A41" w:rsidRPr="00F86A41">
        <w:rPr>
          <w:b/>
          <w:highlight w:val="yellow"/>
        </w:rPr>
        <w:t>1</w:t>
      </w:r>
      <w:r w:rsidR="00F86A41" w:rsidRPr="00F86A41">
        <w:rPr>
          <w:b/>
          <w:highlight w:val="yellow"/>
          <w:vertAlign w:val="superscript"/>
        </w:rPr>
        <w:t>er</w:t>
      </w:r>
      <w:r w:rsidR="00F86A41" w:rsidRPr="00F86A41">
        <w:rPr>
          <w:b/>
          <w:highlight w:val="yellow"/>
        </w:rPr>
        <w:t xml:space="preserve"> cycle</w:t>
      </w:r>
      <w:r w:rsidR="0032166D">
        <w:rPr>
          <w:b/>
        </w:rPr>
        <w:t xml:space="preserve"> </w:t>
      </w:r>
      <w:r w:rsidR="0032166D">
        <w:t>(1</w:t>
      </w:r>
      <w:r w:rsidR="0032166D" w:rsidRPr="00602CD7">
        <w:rPr>
          <w:vertAlign w:val="superscript"/>
        </w:rPr>
        <w:t>re</w:t>
      </w:r>
      <w:r w:rsidR="0032166D">
        <w:t xml:space="preserve"> à 3</w:t>
      </w:r>
      <w:r w:rsidR="0032166D" w:rsidRPr="00602CD7">
        <w:rPr>
          <w:vertAlign w:val="superscript"/>
        </w:rPr>
        <w:t>e</w:t>
      </w:r>
      <w:r w:rsidR="0032166D">
        <w:t xml:space="preserve"> année : addition, soustraction. 3</w:t>
      </w:r>
      <w:r w:rsidR="0032166D" w:rsidRPr="00602CD7">
        <w:rPr>
          <w:vertAlign w:val="superscript"/>
        </w:rPr>
        <w:t>e</w:t>
      </w:r>
      <w:r w:rsidR="0032166D">
        <w:t xml:space="preserve"> à 6</w:t>
      </w:r>
      <w:r w:rsidR="0032166D" w:rsidRPr="00602CD7">
        <w:rPr>
          <w:vertAlign w:val="superscript"/>
        </w:rPr>
        <w:t>e</w:t>
      </w:r>
      <w:r w:rsidR="0032166D">
        <w:t xml:space="preserve"> année : multiplication, division)</w:t>
      </w:r>
    </w:p>
    <w:p w14:paraId="0F0E35FD" w14:textId="7CB2560C" w:rsidR="00A54135" w:rsidRPr="00602CD7" w:rsidRDefault="00802ABE" w:rsidP="00D32E13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Faire une approximation, </w:t>
      </w:r>
      <w:r w:rsidR="00A54135" w:rsidRPr="00602CD7">
        <w:rPr>
          <w:b/>
        </w:rPr>
        <w:t>une estimation</w:t>
      </w:r>
      <w:r>
        <w:rPr>
          <w:b/>
        </w:rPr>
        <w:t xml:space="preserve"> (mesure) et arrondir</w:t>
      </w:r>
    </w:p>
    <w:p w14:paraId="0D0C69C4" w14:textId="2FA3900B" w:rsidR="00670343" w:rsidRDefault="00670343" w:rsidP="00D32E13">
      <w:pPr>
        <w:pStyle w:val="Paragraphedeliste"/>
        <w:numPr>
          <w:ilvl w:val="0"/>
          <w:numId w:val="3"/>
        </w:numPr>
      </w:pPr>
      <w:r w:rsidRPr="00602CD7">
        <w:rPr>
          <w:b/>
        </w:rPr>
        <w:t>Processus de calcul écrit</w:t>
      </w:r>
      <w:r>
        <w:t xml:space="preserve"> </w:t>
      </w:r>
      <w:r w:rsidR="00602CD7">
        <w:t xml:space="preserve">personnels ou conventionnels </w:t>
      </w:r>
      <w:r>
        <w:t>(</w:t>
      </w:r>
      <w:r w:rsidR="00602CD7">
        <w:t>1</w:t>
      </w:r>
      <w:r w:rsidR="00602CD7" w:rsidRPr="00602CD7">
        <w:rPr>
          <w:vertAlign w:val="superscript"/>
        </w:rPr>
        <w:t>re</w:t>
      </w:r>
      <w:r w:rsidR="00602CD7">
        <w:t xml:space="preserve"> à 4</w:t>
      </w:r>
      <w:r w:rsidR="00602CD7" w:rsidRPr="00602CD7">
        <w:rPr>
          <w:vertAlign w:val="superscript"/>
        </w:rPr>
        <w:t>e</w:t>
      </w:r>
      <w:r w:rsidR="00602CD7">
        <w:t xml:space="preserve"> année : </w:t>
      </w:r>
      <w:r>
        <w:t>addition, soustraction</w:t>
      </w:r>
      <w:r w:rsidR="00DE4340">
        <w:t xml:space="preserve">. </w:t>
      </w:r>
      <w:r w:rsidR="00602CD7">
        <w:t>3</w:t>
      </w:r>
      <w:r w:rsidR="00602CD7" w:rsidRPr="00602CD7">
        <w:rPr>
          <w:vertAlign w:val="superscript"/>
        </w:rPr>
        <w:t>e</w:t>
      </w:r>
      <w:r w:rsidR="00602CD7">
        <w:t xml:space="preserve"> à 6</w:t>
      </w:r>
      <w:r w:rsidR="00602CD7" w:rsidRPr="00602CD7">
        <w:rPr>
          <w:vertAlign w:val="superscript"/>
        </w:rPr>
        <w:t>e</w:t>
      </w:r>
      <w:r w:rsidR="00602CD7">
        <w:t xml:space="preserve"> année :</w:t>
      </w:r>
      <w:r>
        <w:t xml:space="preserve"> multiplication, division)</w:t>
      </w:r>
    </w:p>
    <w:p w14:paraId="1B4D9DA7" w14:textId="3E0E05DF" w:rsidR="00670343" w:rsidRPr="00602CD7" w:rsidRDefault="00670343" w:rsidP="00D32E13">
      <w:pPr>
        <w:pStyle w:val="Paragraphedeliste"/>
        <w:numPr>
          <w:ilvl w:val="0"/>
          <w:numId w:val="3"/>
        </w:numPr>
        <w:rPr>
          <w:b/>
        </w:rPr>
      </w:pPr>
      <w:r w:rsidRPr="00602CD7">
        <w:rPr>
          <w:b/>
        </w:rPr>
        <w:t xml:space="preserve">Relation d’égalité entre les expressions numériques (sens du symbole </w:t>
      </w:r>
      <w:proofErr w:type="gramStart"/>
      <w:r w:rsidRPr="00602CD7">
        <w:rPr>
          <w:b/>
        </w:rPr>
        <w:t>= )</w:t>
      </w:r>
      <w:proofErr w:type="gramEnd"/>
    </w:p>
    <w:p w14:paraId="3B040A16" w14:textId="4B103AB7" w:rsidR="00670343" w:rsidRPr="00DE4340" w:rsidRDefault="00670343" w:rsidP="00D32E13">
      <w:pPr>
        <w:pStyle w:val="Paragraphedeliste"/>
        <w:numPr>
          <w:ilvl w:val="0"/>
          <w:numId w:val="3"/>
        </w:numPr>
        <w:rPr>
          <w:b/>
        </w:rPr>
      </w:pPr>
      <w:r w:rsidRPr="00DE4340">
        <w:rPr>
          <w:b/>
        </w:rPr>
        <w:t>Déterminer un terme manquant</w:t>
      </w:r>
      <w:r w:rsidR="00DE4340">
        <w:rPr>
          <w:b/>
        </w:rPr>
        <w:t xml:space="preserve"> (</w:t>
      </w:r>
      <w:r w:rsidR="00DE4340">
        <w:t>(1</w:t>
      </w:r>
      <w:r w:rsidR="00DE4340" w:rsidRPr="00602CD7">
        <w:rPr>
          <w:vertAlign w:val="superscript"/>
        </w:rPr>
        <w:t>re</w:t>
      </w:r>
      <w:r w:rsidR="00DE4340">
        <w:t xml:space="preserve"> à 2</w:t>
      </w:r>
      <w:r w:rsidR="00DE4340" w:rsidRPr="00602CD7">
        <w:rPr>
          <w:vertAlign w:val="superscript"/>
        </w:rPr>
        <w:t>e</w:t>
      </w:r>
      <w:r w:rsidR="00DE4340">
        <w:t xml:space="preserve"> année : addition, soustraction. 3</w:t>
      </w:r>
      <w:r w:rsidR="00DE4340" w:rsidRPr="00602CD7">
        <w:rPr>
          <w:vertAlign w:val="superscript"/>
        </w:rPr>
        <w:t>e</w:t>
      </w:r>
      <w:r w:rsidR="00DE4340">
        <w:t xml:space="preserve"> à 6</w:t>
      </w:r>
      <w:r w:rsidR="00DE4340" w:rsidRPr="00602CD7">
        <w:rPr>
          <w:vertAlign w:val="superscript"/>
        </w:rPr>
        <w:t>e</w:t>
      </w:r>
      <w:r w:rsidR="00DE4340">
        <w:t xml:space="preserve"> année : multiplication, division)</w:t>
      </w:r>
    </w:p>
    <w:p w14:paraId="3C994167" w14:textId="3B682935" w:rsidR="00DE4340" w:rsidRDefault="00DE4340" w:rsidP="00D32E13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t xml:space="preserve">Utilisation des nombres pour représenter un pourcentage (50% = 0,5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DE4340">
        <w:rPr>
          <w:rFonts w:eastAsiaTheme="minorEastAsia"/>
          <w:b/>
        </w:rPr>
        <w:t>= moitié)</w:t>
      </w:r>
      <w:r>
        <w:rPr>
          <w:rFonts w:eastAsiaTheme="minorEastAsia"/>
          <w:b/>
        </w:rPr>
        <w:t xml:space="preserve"> </w:t>
      </w:r>
      <w:r w:rsidRPr="00DE4340">
        <w:rPr>
          <w:rFonts w:eastAsiaTheme="minorEastAsia"/>
        </w:rPr>
        <w:t>et diagramme circulaire</w:t>
      </w:r>
    </w:p>
    <w:p w14:paraId="26019F16" w14:textId="2927B735" w:rsidR="00DE4340" w:rsidRPr="00DE4340" w:rsidRDefault="00DE4340" w:rsidP="00DE4340">
      <w:pPr>
        <w:pStyle w:val="Paragraphedeliste"/>
        <w:numPr>
          <w:ilvl w:val="0"/>
          <w:numId w:val="3"/>
        </w:numPr>
      </w:pPr>
      <w:r>
        <w:t>Décomposer un nombre en facteurs premiers</w:t>
      </w:r>
      <w:r w:rsidR="00F86A41">
        <w:t xml:space="preserve"> </w:t>
      </w:r>
      <w:r w:rsidR="00F86A41" w:rsidRPr="00F86A41">
        <w:rPr>
          <w:highlight w:val="yellow"/>
        </w:rPr>
        <w:t>4</w:t>
      </w:r>
      <w:proofErr w:type="gramStart"/>
      <w:r w:rsidR="00F86A41" w:rsidRPr="00F86A41">
        <w:rPr>
          <w:highlight w:val="yellow"/>
          <w:vertAlign w:val="superscript"/>
        </w:rPr>
        <w:t>e</w:t>
      </w:r>
      <w:r w:rsidR="00F86A41" w:rsidRPr="00F86A41">
        <w:rPr>
          <w:highlight w:val="yellow"/>
        </w:rPr>
        <w:t xml:space="preserve">  année</w:t>
      </w:r>
      <w:proofErr w:type="gramEnd"/>
    </w:p>
    <w:p w14:paraId="0ECEAD86" w14:textId="23FD0443" w:rsidR="00670343" w:rsidRPr="00DE4340" w:rsidRDefault="00670343" w:rsidP="00D32E13">
      <w:pPr>
        <w:pStyle w:val="Paragraphedeliste"/>
        <w:numPr>
          <w:ilvl w:val="0"/>
          <w:numId w:val="3"/>
        </w:numPr>
        <w:rPr>
          <w:rFonts w:eastAsiaTheme="minorEastAsia"/>
        </w:rPr>
      </w:pPr>
      <w:r w:rsidRPr="00DE4340">
        <w:rPr>
          <w:b/>
        </w:rPr>
        <w:t>Décrire</w:t>
      </w:r>
      <w:r>
        <w:t xml:space="preserve"> et classifier des figures planes</w:t>
      </w:r>
    </w:p>
    <w:p w14:paraId="75E58730" w14:textId="5EFFB9EF" w:rsidR="00670343" w:rsidRDefault="00670343" w:rsidP="00D32E13">
      <w:pPr>
        <w:pStyle w:val="Paragraphedeliste"/>
        <w:numPr>
          <w:ilvl w:val="0"/>
          <w:numId w:val="3"/>
        </w:numPr>
        <w:rPr>
          <w:b/>
        </w:rPr>
      </w:pPr>
      <w:r w:rsidRPr="00DE4340">
        <w:rPr>
          <w:b/>
        </w:rPr>
        <w:t>Estimer et mesurer le temps (durée)</w:t>
      </w:r>
      <w:r w:rsidR="00F86A41">
        <w:rPr>
          <w:b/>
        </w:rPr>
        <w:t xml:space="preserve"> </w:t>
      </w:r>
      <w:r w:rsidR="00F86A41" w:rsidRPr="00F86A41">
        <w:rPr>
          <w:b/>
          <w:highlight w:val="yellow"/>
        </w:rPr>
        <w:t>1</w:t>
      </w:r>
      <w:r w:rsidR="00F86A41" w:rsidRPr="00F86A41">
        <w:rPr>
          <w:b/>
          <w:highlight w:val="yellow"/>
          <w:vertAlign w:val="superscript"/>
        </w:rPr>
        <w:t>er</w:t>
      </w:r>
      <w:r w:rsidR="00F86A41" w:rsidRPr="00F86A41">
        <w:rPr>
          <w:b/>
          <w:highlight w:val="yellow"/>
        </w:rPr>
        <w:t xml:space="preserve"> cycle, 3</w:t>
      </w:r>
      <w:r w:rsidR="00F86A41" w:rsidRPr="00F86A41">
        <w:rPr>
          <w:b/>
          <w:highlight w:val="yellow"/>
          <w:vertAlign w:val="superscript"/>
        </w:rPr>
        <w:t>e</w:t>
      </w:r>
      <w:r w:rsidR="00F86A41" w:rsidRPr="00F86A41">
        <w:rPr>
          <w:b/>
          <w:highlight w:val="yellow"/>
        </w:rPr>
        <w:t xml:space="preserve"> cycle</w:t>
      </w:r>
    </w:p>
    <w:p w14:paraId="1F4FB43B" w14:textId="618E31D2" w:rsidR="00EE70C0" w:rsidRPr="00F86A41" w:rsidRDefault="00F86A41" w:rsidP="00EE70C0">
      <w:pPr>
        <w:pStyle w:val="Paragraphedeliste"/>
      </w:pPr>
      <w:r w:rsidRPr="00F86A41">
        <w:rPr>
          <w:highlight w:val="yellow"/>
        </w:rPr>
        <w:t>Opérations sur les fractions 2</w:t>
      </w:r>
      <w:r w:rsidRPr="00F86A41">
        <w:rPr>
          <w:highlight w:val="yellow"/>
          <w:vertAlign w:val="superscript"/>
        </w:rPr>
        <w:t>e</w:t>
      </w:r>
      <w:r w:rsidRPr="00F86A41">
        <w:rPr>
          <w:highlight w:val="yellow"/>
        </w:rPr>
        <w:t xml:space="preserve"> et 3</w:t>
      </w:r>
      <w:r w:rsidRPr="00F86A41">
        <w:rPr>
          <w:highlight w:val="yellow"/>
          <w:vertAlign w:val="superscript"/>
        </w:rPr>
        <w:t>e</w:t>
      </w:r>
      <w:r w:rsidRPr="00F86A41">
        <w:rPr>
          <w:highlight w:val="yellow"/>
        </w:rPr>
        <w:t xml:space="preserve"> cycles. Opérations sur les nombres décimaux 2</w:t>
      </w:r>
      <w:r w:rsidRPr="00F86A41">
        <w:rPr>
          <w:highlight w:val="yellow"/>
          <w:vertAlign w:val="superscript"/>
        </w:rPr>
        <w:t>e</w:t>
      </w:r>
      <w:r w:rsidRPr="00F86A41">
        <w:rPr>
          <w:highlight w:val="yellow"/>
        </w:rPr>
        <w:t xml:space="preserve"> cycle.</w:t>
      </w:r>
    </w:p>
    <w:p w14:paraId="08C22C42" w14:textId="5C6FE6D1" w:rsidR="005B0269" w:rsidRDefault="005B0269" w:rsidP="00DC3E3E">
      <w:r w:rsidRPr="005B0269">
        <w:rPr>
          <w:u w:val="single"/>
        </w:rPr>
        <w:t>AMI </w:t>
      </w:r>
      <w:r>
        <w:t>: Armoire math interactive</w:t>
      </w:r>
      <w:r w:rsidR="003A1013">
        <w:t xml:space="preserve"> sur le Web</w:t>
      </w:r>
      <w:r>
        <w:t xml:space="preserve">  </w:t>
      </w:r>
      <w:hyperlink r:id="rId12" w:history="1">
        <w:r w:rsidRPr="00653E4F">
          <w:rPr>
            <w:rStyle w:val="Lienhypertexte"/>
          </w:rPr>
          <w:t>https://se.csbe.qc.ca/mathprimaire/2020/08/28/larmoire-math-interactive-web/</w:t>
        </w:r>
      </w:hyperlink>
      <w:r>
        <w:t xml:space="preserve"> </w:t>
      </w:r>
    </w:p>
    <w:p w14:paraId="2F9E4CBC" w14:textId="4A363E8C" w:rsidR="00DC3E3E" w:rsidRDefault="00DC3E3E" w:rsidP="00DC3E3E"/>
    <w:p w14:paraId="1E0A5C6D" w14:textId="0E8873BA" w:rsidR="00DC44A7" w:rsidRDefault="00DC44A7" w:rsidP="00DC3E3E"/>
    <w:p w14:paraId="23CC6DE7" w14:textId="4F206A27" w:rsidR="00DC44A7" w:rsidRDefault="00BE78B8" w:rsidP="00DC3E3E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9526AC" wp14:editId="59F9596B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418147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3C27" w14:textId="77777777" w:rsidR="00BE78B8" w:rsidRPr="003F7B79" w:rsidRDefault="00BE78B8" w:rsidP="00BE78B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F7B79">
                              <w:rPr>
                                <w:i/>
                                <w:sz w:val="16"/>
                                <w:szCs w:val="16"/>
                              </w:rPr>
                              <w:t>Développem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ent des idées mathématiques_ JM_CSSBE</w:t>
                            </w:r>
                            <w:r w:rsidRPr="003F7B7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_20-21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9526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6.6pt;width:32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5BJgIAACMEAAAOAAAAZHJzL2Uyb0RvYy54bWysU02P2yAQvVfqf0DcG9uRs9m14qy22aaq&#10;tP2Qtr30hgHHqJihQGKnv34HnM1G21tVDgiY4fHmzWN1O/aaHKTzCkxNi1lOiTQchDK7mv74vn13&#10;TYkPzAimwciaHqWnt+u3b1aDreQcOtBCOoIgxleDrWkXgq2yzPNO9szPwEqDwRZczwJu3S4Tjg2I&#10;3utsnudX2QBOWAdceo+n91OQrhN+20oevratl4HomiK3kGaX5ibO2XrFqp1jtlP8RIP9A4ueKYOP&#10;nqHuWWBk79RfUL3iDjy0Ycahz6BtFZepBqymyF9V89gxK1MtKI63Z5n8/4PlXw7fHFGipvNiSYlh&#10;PTbpJ7aKCEmCHIMk8yjSYH2FuY8Ws8P4HkZsdirY2wfgvzwxsOmY2ck752DoJBNIsog3s4urE46P&#10;IM3wGQS+xfYBEtDYuj4qiJoQRMdmHc8NQh6E42FZXBflckEJx1hR5uXVPLUwY9Xzdet8+CihJ3FR&#10;U4cOSPDs8OBDpMOq55T4mgetxFZpnTZu12y0IweGbtmmkSp4laYNGWp6s5gvErKBeD8ZqVcB3axV&#10;X9PrPI7JX1GOD0aklMCUntbIRJuTPlGSSZwwNiMmRtEaEEdUysHkWvxluOjA/aFkQMfW1P/eMycp&#10;0Z8Mqn1TlGW0eNqUiyVKQ9xlpLmMMMMRqqaBkmm5CelbJB3sHXZlq5JeL0xOXNGJScbTr4lWv9yn&#10;rJe/vX4CAAD//wMAUEsDBBQABgAIAAAAIQACxDOg3QAAAAcBAAAPAAAAZHJzL2Rvd25yZXYueG1s&#10;TI8xT8MwFIR3JP6D9ZDYqEPaVFUap6qoWBiQKEgwuvFLHNV+tmw3Df8eM8F4utPdd81utoZNGOLo&#10;SMDjogCG1Dk10iDg4/35YQMsJklKGkco4Bsj7Nrbm0bWyl3pDadjGlguoVhLATolX3MeO41WxoXz&#10;SNnrXbAyZRkGroK85nJreFkUa27lSHlBS49PGrvz8WIFfFo9qkN4/eqVmQ4v/b7yc/BC3N/N+y2w&#10;hHP6C8MvfkaHNjOd3IVUZEZAPpIELJclsOyuq00F7CSgrFYr4G3D//O3PwAAAP//AwBQSwECLQAU&#10;AAYACAAAACEAtoM4kv4AAADhAQAAEwAAAAAAAAAAAAAAAAAAAAAAW0NvbnRlbnRfVHlwZXNdLnht&#10;bFBLAQItABQABgAIAAAAIQA4/SH/1gAAAJQBAAALAAAAAAAAAAAAAAAAAC8BAABfcmVscy8ucmVs&#10;c1BLAQItABQABgAIAAAAIQAa2P5BJgIAACMEAAAOAAAAAAAAAAAAAAAAAC4CAABkcnMvZTJvRG9j&#10;LnhtbFBLAQItABQABgAIAAAAIQACxDOg3QAAAAcBAAAPAAAAAAAAAAAAAAAAAIAEAABkcnMvZG93&#10;bnJldi54bWxQSwUGAAAAAAQABADzAAAAigUAAAAA&#10;" stroked="f">
                <v:textbox style="mso-fit-shape-to-text:t">
                  <w:txbxContent>
                    <w:p w14:paraId="06503C27" w14:textId="77777777" w:rsidR="00BE78B8" w:rsidRPr="003F7B79" w:rsidRDefault="00BE78B8" w:rsidP="00BE78B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F7B79">
                        <w:rPr>
                          <w:i/>
                          <w:sz w:val="16"/>
                          <w:szCs w:val="16"/>
                        </w:rPr>
                        <w:t>Développem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ent des idées mathématiques_ JM_CSSBE</w:t>
                      </w:r>
                      <w:r w:rsidRPr="003F7B79">
                        <w:rPr>
                          <w:i/>
                          <w:sz w:val="16"/>
                          <w:szCs w:val="16"/>
                        </w:rPr>
                        <w:t xml:space="preserve"> _20-21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598"/>
        <w:gridCol w:w="2980"/>
        <w:gridCol w:w="3578"/>
      </w:tblGrid>
      <w:tr w:rsidR="00CF7B87" w14:paraId="23CE7EEA" w14:textId="77777777" w:rsidTr="3C73DAAD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EC5103C" w14:textId="77777777" w:rsidR="003A1013" w:rsidRDefault="003A1013" w:rsidP="003A1013">
            <w:pPr>
              <w:pStyle w:val="Paragraphedeliste"/>
              <w:numPr>
                <w:ilvl w:val="0"/>
                <w:numId w:val="5"/>
              </w:numPr>
            </w:pPr>
            <w:r w:rsidRPr="00DE4340">
              <w:rPr>
                <w:b/>
              </w:rPr>
              <w:lastRenderedPageBreak/>
              <w:t>Sens du nombre (naturel,</w:t>
            </w:r>
            <w:r>
              <w:t xml:space="preserve"> décimal, fraction) : </w:t>
            </w:r>
            <w:r w:rsidRPr="00DC3E3E">
              <w:rPr>
                <w:b/>
              </w:rPr>
              <w:t xml:space="preserve">croissant, décroissant, valeur de position, </w:t>
            </w:r>
            <w:r>
              <w:rPr>
                <w:b/>
              </w:rPr>
              <w:t xml:space="preserve">comparer, </w:t>
            </w:r>
            <w:r w:rsidRPr="00DC3E3E">
              <w:rPr>
                <w:b/>
              </w:rPr>
              <w:t>représentation</w:t>
            </w:r>
          </w:p>
          <w:p w14:paraId="606F4A13" w14:textId="286CC462" w:rsidR="00602CD7" w:rsidRDefault="00602CD7" w:rsidP="00DE4340"/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0F9751" w14:textId="77777777" w:rsidR="003A1013" w:rsidRDefault="00CF7B87" w:rsidP="001645E9">
            <w:r>
              <w:t>PDA amendée : p. 7 à 19</w:t>
            </w:r>
          </w:p>
          <w:p w14:paraId="5CC2FE6A" w14:textId="777B86FF" w:rsidR="00CF7B87" w:rsidRDefault="003A1013" w:rsidP="003A1013">
            <w:pPr>
              <w:pStyle w:val="Paragraphedeliste"/>
              <w:numPr>
                <w:ilvl w:val="0"/>
                <w:numId w:val="6"/>
              </w:numPr>
            </w:pPr>
            <w:r>
              <w:t>T</w:t>
            </w:r>
            <w:r w:rsidR="00DC3E3E">
              <w:t>ableau de numération</w:t>
            </w:r>
            <w:r w:rsidR="00602CD7">
              <w:t xml:space="preserve"> introduit en</w:t>
            </w:r>
            <w:r w:rsidR="00DC3E3E">
              <w:t xml:space="preserve"> </w:t>
            </w:r>
            <w:r w:rsidR="00DC3E3E" w:rsidRPr="00F86A41">
              <w:t>2</w:t>
            </w:r>
            <w:r w:rsidR="00DC3E3E" w:rsidRPr="00F86A41">
              <w:rPr>
                <w:vertAlign w:val="superscript"/>
              </w:rPr>
              <w:t>e</w:t>
            </w:r>
            <w:r w:rsidR="00DC3E3E" w:rsidRPr="00F86A41">
              <w:t xml:space="preserve"> année</w:t>
            </w:r>
          </w:p>
          <w:p w14:paraId="30979D95" w14:textId="25ECC2DD" w:rsidR="008E7106" w:rsidRDefault="003A1013" w:rsidP="008E7106">
            <w:pPr>
              <w:pStyle w:val="Paragraphedeliste"/>
              <w:numPr>
                <w:ilvl w:val="0"/>
                <w:numId w:val="6"/>
              </w:numPr>
            </w:pPr>
            <w:r>
              <w:t>Utilisation conseillée de la droite numérique</w:t>
            </w:r>
          </w:p>
          <w:p w14:paraId="5472182A" w14:textId="43332CDA" w:rsidR="003A1013" w:rsidRDefault="003A1013" w:rsidP="003A1013">
            <w:r>
              <w:t>AMI : matériel aux différents groupements</w:t>
            </w:r>
          </w:p>
          <w:p w14:paraId="0335F0EA" w14:textId="77777777" w:rsidR="007E0E4A" w:rsidRDefault="007E0E4A" w:rsidP="001645E9"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> T1 : chapitre 2 p. 37    T2 :  chapitre 2 p. 39</w:t>
            </w:r>
          </w:p>
          <w:p w14:paraId="06BB5A8C" w14:textId="157C92DE" w:rsidR="00305D1B" w:rsidRDefault="00305D1B" w:rsidP="001645E9">
            <w:proofErr w:type="spellStart"/>
            <w:r>
              <w:t>Subitisation</w:t>
            </w:r>
            <w:proofErr w:type="spellEnd"/>
            <w:r>
              <w:t xml:space="preserve"> ou constellation :</w:t>
            </w:r>
            <w:hyperlink r:id="rId13" w:history="1">
              <w:r w:rsidRPr="00305D1B">
                <w:rPr>
                  <w:rStyle w:val="Lienhypertexte"/>
                </w:rPr>
                <w:t>ICI</w:t>
              </w:r>
            </w:hyperlink>
          </w:p>
        </w:tc>
      </w:tr>
      <w:tr w:rsidR="00CF7B87" w14:paraId="3DA966A3" w14:textId="77777777" w:rsidTr="3C73DAAD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BD60351" w14:textId="77777777" w:rsidR="00CF7B87" w:rsidRDefault="00CF7B87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39176DF" w14:textId="77777777" w:rsidR="00CF7B87" w:rsidRDefault="00CF7B87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04606BF" w14:textId="61CA90C9" w:rsidR="00CF7B87" w:rsidRDefault="00CF7B87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A509801" w14:textId="77777777" w:rsidR="00CF7B87" w:rsidRDefault="00CF7B87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C6101B" w14:paraId="672A6659" w14:textId="77777777" w:rsidTr="001645E9">
        <w:trPr>
          <w:trHeight w:val="2268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0A37501D" w14:textId="5DF69CF7" w:rsidR="00C6101B" w:rsidRPr="003A1013" w:rsidRDefault="003A1013" w:rsidP="003A1013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A1013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Nombres naturels</w:t>
            </w:r>
          </w:p>
        </w:tc>
        <w:tc>
          <w:tcPr>
            <w:tcW w:w="3577" w:type="dxa"/>
            <w:tcBorders>
              <w:top w:val="thinThickSmallGap" w:sz="24" w:space="0" w:color="auto"/>
            </w:tcBorders>
          </w:tcPr>
          <w:p w14:paraId="02B52D31" w14:textId="77B4D55D" w:rsidR="00C6101B" w:rsidRPr="003A1013" w:rsidRDefault="003A1013" w:rsidP="003A1013">
            <w:pPr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Nombres naturels</w:t>
            </w:r>
          </w:p>
          <w:p w14:paraId="5DAB6C7B" w14:textId="60CF3AA7" w:rsidR="003A1013" w:rsidRPr="003A1013" w:rsidRDefault="003A1013" w:rsidP="003A1013">
            <w:pPr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Fractions</w:t>
            </w:r>
          </w:p>
        </w:tc>
        <w:tc>
          <w:tcPr>
            <w:tcW w:w="3578" w:type="dxa"/>
            <w:gridSpan w:val="2"/>
            <w:tcBorders>
              <w:top w:val="thinThickSmallGap" w:sz="24" w:space="0" w:color="auto"/>
            </w:tcBorders>
          </w:tcPr>
          <w:p w14:paraId="0BEB1F27" w14:textId="2BA6CF3F" w:rsidR="00C6101B" w:rsidRPr="003A1013" w:rsidRDefault="003A1013" w:rsidP="003A1013">
            <w:pPr>
              <w:pStyle w:val="Paragraphedeliste"/>
              <w:ind w:left="-216"/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Nombres naturels</w:t>
            </w:r>
          </w:p>
          <w:p w14:paraId="77AF98D7" w14:textId="39A69294" w:rsidR="003A1013" w:rsidRPr="003A1013" w:rsidRDefault="003A1013" w:rsidP="003A1013">
            <w:pPr>
              <w:pStyle w:val="Paragraphedeliste"/>
              <w:ind w:left="-216"/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Nombres entiers (4</w:t>
            </w:r>
            <w:r w:rsidRPr="003A1013">
              <w:rPr>
                <w:sz w:val="16"/>
                <w:szCs w:val="16"/>
                <w:vertAlign w:val="superscript"/>
              </w:rPr>
              <w:t>e</w:t>
            </w:r>
            <w:r w:rsidRPr="003A1013">
              <w:rPr>
                <w:sz w:val="16"/>
                <w:szCs w:val="16"/>
              </w:rPr>
              <w:t>)</w:t>
            </w:r>
          </w:p>
          <w:p w14:paraId="18878087" w14:textId="1AB3D07C" w:rsidR="003A1013" w:rsidRPr="003A1013" w:rsidRDefault="003A1013" w:rsidP="003A1013">
            <w:pPr>
              <w:pStyle w:val="Paragraphedeliste"/>
              <w:ind w:left="-216"/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Nombres décimaux</w:t>
            </w:r>
          </w:p>
          <w:p w14:paraId="7F51F717" w14:textId="249A43F6" w:rsidR="003A1013" w:rsidRPr="003A1013" w:rsidRDefault="003A1013" w:rsidP="003A1013">
            <w:pPr>
              <w:pStyle w:val="Paragraphedeliste"/>
              <w:ind w:left="-216"/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Fractions</w:t>
            </w:r>
          </w:p>
          <w:p w14:paraId="2CCDAE7F" w14:textId="33EB4177" w:rsidR="003A1013" w:rsidRPr="003A1013" w:rsidRDefault="003A1013" w:rsidP="003A1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26AB247C" w14:textId="77777777" w:rsidR="003A1013" w:rsidRPr="003A1013" w:rsidRDefault="003A1013" w:rsidP="003A1013">
            <w:pPr>
              <w:pStyle w:val="Paragraphedeliste"/>
              <w:ind w:left="-216"/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Nombres naturels</w:t>
            </w:r>
          </w:p>
          <w:p w14:paraId="0EA3800B" w14:textId="77777777" w:rsidR="003A1013" w:rsidRPr="003A1013" w:rsidRDefault="003A1013" w:rsidP="003A1013">
            <w:pPr>
              <w:pStyle w:val="Paragraphedeliste"/>
              <w:ind w:left="-216"/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Nombres entiers (4</w:t>
            </w:r>
            <w:r w:rsidRPr="003A1013">
              <w:rPr>
                <w:sz w:val="16"/>
                <w:szCs w:val="16"/>
                <w:vertAlign w:val="superscript"/>
              </w:rPr>
              <w:t>e</w:t>
            </w:r>
            <w:r w:rsidRPr="003A1013">
              <w:rPr>
                <w:sz w:val="16"/>
                <w:szCs w:val="16"/>
              </w:rPr>
              <w:t>)</w:t>
            </w:r>
          </w:p>
          <w:p w14:paraId="3173D50D" w14:textId="77777777" w:rsidR="003A1013" w:rsidRPr="003A1013" w:rsidRDefault="003A1013" w:rsidP="003A1013">
            <w:pPr>
              <w:pStyle w:val="Paragraphedeliste"/>
              <w:ind w:left="-216"/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Nombres décimaux</w:t>
            </w:r>
          </w:p>
          <w:p w14:paraId="43C13042" w14:textId="77777777" w:rsidR="003A1013" w:rsidRPr="003A1013" w:rsidRDefault="003A1013" w:rsidP="003A1013">
            <w:pPr>
              <w:pStyle w:val="Paragraphedeliste"/>
              <w:ind w:left="-216"/>
              <w:jc w:val="center"/>
              <w:rPr>
                <w:sz w:val="16"/>
                <w:szCs w:val="16"/>
              </w:rPr>
            </w:pPr>
            <w:r w:rsidRPr="003A1013">
              <w:rPr>
                <w:sz w:val="16"/>
                <w:szCs w:val="16"/>
              </w:rPr>
              <w:t>Fractions</w:t>
            </w:r>
          </w:p>
          <w:p w14:paraId="02EB378F" w14:textId="5A91F76B" w:rsidR="00C6101B" w:rsidRPr="003A1013" w:rsidRDefault="00C6101B" w:rsidP="00C6101B">
            <w:pPr>
              <w:pStyle w:val="Paragraphedeliste"/>
              <w:rPr>
                <w:sz w:val="16"/>
                <w:szCs w:val="16"/>
              </w:rPr>
            </w:pPr>
          </w:p>
        </w:tc>
      </w:tr>
    </w:tbl>
    <w:p w14:paraId="5A39BBE3" w14:textId="61547DF6" w:rsidR="00CF7B87" w:rsidRDefault="00CF7B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3884"/>
        <w:gridCol w:w="3464"/>
        <w:gridCol w:w="3463"/>
      </w:tblGrid>
      <w:tr w:rsidR="00AD68B6" w14:paraId="77564BA0" w14:textId="77777777" w:rsidTr="00C6101B">
        <w:tc>
          <w:tcPr>
            <w:tcW w:w="738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2FDBA8C" w14:textId="05DA0EFF" w:rsidR="003A1013" w:rsidRDefault="003A1013" w:rsidP="003A1013">
            <w:pPr>
              <w:pStyle w:val="Paragraphedeliste"/>
              <w:numPr>
                <w:ilvl w:val="0"/>
                <w:numId w:val="5"/>
              </w:numPr>
            </w:pPr>
            <w:r w:rsidRPr="00602CD7">
              <w:rPr>
                <w:b/>
              </w:rPr>
              <w:t xml:space="preserve">Représenter une </w:t>
            </w:r>
            <w:r w:rsidRPr="003A1013">
              <w:rPr>
                <w:b/>
              </w:rPr>
              <w:t>fraction (surface, collection, longueur)</w:t>
            </w:r>
            <w:r>
              <w:t xml:space="preserve"> et sens de la faction (partage, division, rapport)</w:t>
            </w:r>
          </w:p>
          <w:p w14:paraId="41C8F396" w14:textId="77777777" w:rsidR="00BB3DD6" w:rsidRDefault="00AD68B6">
            <w:r>
              <w:rPr>
                <w:noProof/>
                <w:lang w:eastAsia="fr-CA"/>
              </w:rPr>
              <w:drawing>
                <wp:inline distT="0" distB="0" distL="0" distR="0" wp14:anchorId="76FBC055" wp14:editId="73373DC2">
                  <wp:extent cx="4458646" cy="11239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763" cy="112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FF2561" w14:textId="6FB6BDE3" w:rsidR="00AD68B6" w:rsidRDefault="00BC6CFF">
            <w:r w:rsidRPr="000F230E">
              <w:rPr>
                <w:noProof/>
                <w:highlight w:val="cyan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69679EA9" wp14:editId="2CF50698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105410</wp:posOffset>
                  </wp:positionV>
                  <wp:extent cx="1647825" cy="510010"/>
                  <wp:effectExtent l="19050" t="19050" r="9525" b="2349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510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AD68B6">
              <w:t>PDA amendée : p</w:t>
            </w:r>
            <w:r w:rsidR="005B0269">
              <w:t>. 13</w:t>
            </w:r>
            <w:r w:rsidR="00B120FE">
              <w:t>, 14</w:t>
            </w:r>
            <w:r w:rsidR="005B0269">
              <w:t xml:space="preserve"> et</w:t>
            </w:r>
            <w:r w:rsidR="00AD68B6">
              <w:t xml:space="preserve"> 17</w:t>
            </w:r>
          </w:p>
          <w:p w14:paraId="5A966D1B" w14:textId="24D88048" w:rsidR="006D706D" w:rsidRDefault="006D706D"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 xml:space="preserve"> T1 : p. </w:t>
            </w:r>
            <w:proofErr w:type="gramStart"/>
            <w:r>
              <w:t>267  T</w:t>
            </w:r>
            <w:proofErr w:type="gramEnd"/>
            <w:r>
              <w:t>2 : p. 137</w:t>
            </w:r>
          </w:p>
          <w:p w14:paraId="01A3A029" w14:textId="1E64F37B" w:rsidR="005B0269" w:rsidRDefault="005B0269">
            <w:r w:rsidRPr="005B0269">
              <w:rPr>
                <w:u w:val="single"/>
              </w:rPr>
              <w:t>AMI</w:t>
            </w:r>
            <w:r>
              <w:t> : fractions</w:t>
            </w:r>
          </w:p>
          <w:p w14:paraId="46C8DC06" w14:textId="491209E3" w:rsidR="00AD68B6" w:rsidRDefault="00AD68B6">
            <w:r>
              <w:t xml:space="preserve">Capsules vidéos :  </w:t>
            </w:r>
          </w:p>
          <w:p w14:paraId="3CC3C76B" w14:textId="6FB2988C" w:rsidR="00AD68B6" w:rsidRDefault="00AD68B6" w:rsidP="00AD68B6">
            <w:pPr>
              <w:pStyle w:val="Paragraphedeliste"/>
              <w:numPr>
                <w:ilvl w:val="0"/>
                <w:numId w:val="2"/>
              </w:numPr>
            </w:pPr>
            <w:r>
              <w:t>Sen</w:t>
            </w:r>
            <w:r w:rsidR="006D706D">
              <w:t>s</w:t>
            </w:r>
            <w:r>
              <w:t xml:space="preserve"> : </w:t>
            </w:r>
            <w:hyperlink r:id="rId16" w:history="1">
              <w:r w:rsidRPr="00653E4F">
                <w:rPr>
                  <w:rStyle w:val="Lienhypertexte"/>
                </w:rPr>
                <w:t>https://www.youtube.com/watch?v=Ft-1w9GMhjU</w:t>
              </w:r>
            </w:hyperlink>
          </w:p>
          <w:p w14:paraId="7356841C" w14:textId="77777777" w:rsidR="00AD68B6" w:rsidRDefault="00AD68B6" w:rsidP="00AD68B6">
            <w:pPr>
              <w:pStyle w:val="Paragraphedeliste"/>
              <w:numPr>
                <w:ilvl w:val="0"/>
                <w:numId w:val="2"/>
              </w:numPr>
            </w:pPr>
            <w:r>
              <w:t>2</w:t>
            </w:r>
            <w:r w:rsidRPr="00AD68B6">
              <w:rPr>
                <w:vertAlign w:val="superscript"/>
              </w:rPr>
              <w:t>e</w:t>
            </w:r>
            <w:r>
              <w:t xml:space="preserve"> vs 6</w:t>
            </w:r>
            <w:r w:rsidRPr="00AD68B6">
              <w:rPr>
                <w:vertAlign w:val="superscript"/>
              </w:rPr>
              <w:t>e</w:t>
            </w:r>
            <w:r>
              <w:t xml:space="preserve"> : </w:t>
            </w:r>
            <w:hyperlink r:id="rId17" w:history="1">
              <w:r w:rsidRPr="00653E4F">
                <w:rPr>
                  <w:rStyle w:val="Lienhypertexte"/>
                </w:rPr>
                <w:t>https://www.youtube.com/watch?v=uOl-XlLsixU</w:t>
              </w:r>
            </w:hyperlink>
            <w:r>
              <w:t xml:space="preserve"> </w:t>
            </w:r>
          </w:p>
          <w:p w14:paraId="72A3D3EC" w14:textId="77777777" w:rsidR="00AD68B6" w:rsidRDefault="00AD68B6"/>
        </w:tc>
      </w:tr>
      <w:tr w:rsidR="00043564" w14:paraId="16A2B4FE" w14:textId="77777777" w:rsidTr="00C6101B">
        <w:tc>
          <w:tcPr>
            <w:tcW w:w="34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59797BF" w14:textId="77777777" w:rsidR="00BB3DD6" w:rsidRDefault="00BB3DD6" w:rsidP="00BB3DD6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8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744F8BB" w14:textId="77777777" w:rsidR="00BB3DD6" w:rsidRDefault="00BB3DD6" w:rsidP="00BB3DD6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46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CD15E3B" w14:textId="77777777" w:rsidR="00BB3DD6" w:rsidRDefault="00BB3DD6" w:rsidP="00BB3DD6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7CBA2B7" w14:textId="77777777" w:rsidR="00BB3DD6" w:rsidRDefault="00BB3DD6" w:rsidP="00BB3DD6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6D706D" w14:paraId="0D0B940D" w14:textId="77777777" w:rsidTr="00C6101B">
        <w:trPr>
          <w:trHeight w:val="2268"/>
        </w:trPr>
        <w:tc>
          <w:tcPr>
            <w:tcW w:w="3499" w:type="dxa"/>
            <w:tcBorders>
              <w:top w:val="thinThickSmallGap" w:sz="24" w:space="0" w:color="auto"/>
            </w:tcBorders>
          </w:tcPr>
          <w:p w14:paraId="0E27B00A" w14:textId="77777777" w:rsidR="006D706D" w:rsidRDefault="006D706D" w:rsidP="00BB3DD6">
            <w:pPr>
              <w:jc w:val="center"/>
            </w:pPr>
          </w:p>
        </w:tc>
        <w:tc>
          <w:tcPr>
            <w:tcW w:w="3884" w:type="dxa"/>
            <w:tcBorders>
              <w:top w:val="thinThickSmallGap" w:sz="24" w:space="0" w:color="auto"/>
            </w:tcBorders>
          </w:tcPr>
          <w:p w14:paraId="60061E4C" w14:textId="77777777" w:rsidR="006D706D" w:rsidRDefault="006D706D" w:rsidP="00BB3DD6">
            <w:pPr>
              <w:jc w:val="center"/>
            </w:pPr>
          </w:p>
        </w:tc>
        <w:tc>
          <w:tcPr>
            <w:tcW w:w="3464" w:type="dxa"/>
            <w:tcBorders>
              <w:top w:val="thinThickSmallGap" w:sz="24" w:space="0" w:color="auto"/>
            </w:tcBorders>
          </w:tcPr>
          <w:p w14:paraId="44EAFD9C" w14:textId="77777777" w:rsidR="006D706D" w:rsidRDefault="006D706D" w:rsidP="00BB3DD6">
            <w:pPr>
              <w:jc w:val="center"/>
            </w:pPr>
          </w:p>
        </w:tc>
        <w:tc>
          <w:tcPr>
            <w:tcW w:w="3463" w:type="dxa"/>
            <w:tcBorders>
              <w:top w:val="thinThickSmallGap" w:sz="24" w:space="0" w:color="auto"/>
            </w:tcBorders>
          </w:tcPr>
          <w:p w14:paraId="4B94D5A5" w14:textId="77777777" w:rsidR="006D706D" w:rsidRDefault="006D706D" w:rsidP="00BB3DD6">
            <w:pPr>
              <w:jc w:val="center"/>
            </w:pPr>
          </w:p>
        </w:tc>
      </w:tr>
    </w:tbl>
    <w:p w14:paraId="3DEEC669" w14:textId="77777777" w:rsidR="00BB3DD6" w:rsidRDefault="00BB3DD6" w:rsidP="00BB3DD6">
      <w:pPr>
        <w:jc w:val="center"/>
      </w:pPr>
    </w:p>
    <w:p w14:paraId="1626E0BE" w14:textId="3E1D54EF" w:rsidR="007E0E4A" w:rsidRDefault="007E0E4A" w:rsidP="00BB3DD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1"/>
        <w:gridCol w:w="3915"/>
        <w:gridCol w:w="3350"/>
        <w:gridCol w:w="3334"/>
      </w:tblGrid>
      <w:tr w:rsidR="00305D1B" w14:paraId="12243424" w14:textId="77777777" w:rsidTr="001645E9">
        <w:tc>
          <w:tcPr>
            <w:tcW w:w="738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B4566DA" w14:textId="25F8057B" w:rsidR="003A1013" w:rsidRDefault="003A1013" w:rsidP="003A1013">
            <w:pPr>
              <w:pStyle w:val="Paragraphedeliste"/>
              <w:numPr>
                <w:ilvl w:val="0"/>
                <w:numId w:val="5"/>
              </w:numPr>
            </w:pPr>
            <w:r w:rsidRPr="003A1013">
              <w:rPr>
                <w:b/>
              </w:rPr>
              <w:lastRenderedPageBreak/>
              <w:t>Traduire une situation</w:t>
            </w:r>
            <w:r w:rsidR="00305D1B">
              <w:rPr>
                <w:b/>
              </w:rPr>
              <w:t> </w:t>
            </w:r>
            <w:r w:rsidR="00305D1B" w:rsidRPr="00305D1B">
              <w:rPr>
                <w:b/>
              </w:rPr>
              <w:t xml:space="preserve">: </w:t>
            </w:r>
            <w:r w:rsidRPr="00305D1B">
              <w:rPr>
                <w:b/>
              </w:rPr>
              <w:t>structures additives</w:t>
            </w:r>
            <w:proofErr w:type="gramStart"/>
            <w:r w:rsidRPr="00305D1B">
              <w:rPr>
                <w:b/>
              </w:rPr>
              <w:t> :comparaison</w:t>
            </w:r>
            <w:proofErr w:type="gramEnd"/>
            <w:r w:rsidRPr="00305D1B">
              <w:rPr>
                <w:b/>
              </w:rPr>
              <w:t>, transformation, réunion)</w:t>
            </w:r>
            <w:r>
              <w:t xml:space="preserve"> </w:t>
            </w:r>
            <w:r w:rsidR="00305D1B">
              <w:t xml:space="preserve">et structures multiplicatives </w:t>
            </w:r>
            <w:r>
              <w:t>(concret, schéma, équation)</w:t>
            </w:r>
          </w:p>
          <w:p w14:paraId="50055804" w14:textId="189C8C3B" w:rsidR="003A1013" w:rsidRDefault="00305D1B" w:rsidP="001645E9">
            <w:r>
              <w:rPr>
                <w:noProof/>
                <w:lang w:eastAsia="fr-CA"/>
              </w:rPr>
              <w:drawing>
                <wp:inline distT="0" distB="0" distL="0" distR="0" wp14:anchorId="48BC7765" wp14:editId="1E1C52AC">
                  <wp:extent cx="4701483" cy="16764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546" cy="168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0E64B2" w14:textId="5C670617" w:rsidR="003A1013" w:rsidRDefault="003A1013" w:rsidP="001645E9">
            <w:r>
              <w:t xml:space="preserve">PDA amendée : p. </w:t>
            </w:r>
            <w:r w:rsidR="00305D1B">
              <w:t>20 et 21</w:t>
            </w:r>
          </w:p>
          <w:p w14:paraId="5B39F94C" w14:textId="0B3E9E64" w:rsidR="003A1013" w:rsidRDefault="00305D1B" w:rsidP="001645E9">
            <w:r>
              <w:t>Formation CSSBE : Deux oursons, un renard et LE fromage</w:t>
            </w:r>
          </w:p>
          <w:p w14:paraId="7C4F09F6" w14:textId="6C3BF6DE" w:rsidR="00305D1B" w:rsidRDefault="00305D1B" w:rsidP="00305D1B">
            <w:pPr>
              <w:pStyle w:val="Paragraphedeliste"/>
              <w:numPr>
                <w:ilvl w:val="0"/>
                <w:numId w:val="2"/>
              </w:numPr>
            </w:pPr>
            <w:r>
              <w:t>Identifier le sens à l’aide de bandes de carton indifféremment des do</w:t>
            </w:r>
            <w:r w:rsidR="005C6884">
              <w:t>nnées chiffrées permet de se re</w:t>
            </w:r>
            <w:r>
              <w:t>p</w:t>
            </w:r>
            <w:r w:rsidR="005C6884">
              <w:t>r</w:t>
            </w:r>
            <w:r>
              <w:t xml:space="preserve">ésenter la situation sans être limité par des données de plus en plus difficiles à </w:t>
            </w:r>
            <w:r w:rsidR="005C6884">
              <w:t>manipuler.</w:t>
            </w:r>
          </w:p>
          <w:p w14:paraId="537A954A" w14:textId="3141DC51" w:rsidR="005C6884" w:rsidRPr="005C6884" w:rsidRDefault="005C6884" w:rsidP="005C6884">
            <w:pPr>
              <w:pStyle w:val="Paragraphedeliste"/>
              <w:rPr>
                <w:i/>
              </w:rPr>
            </w:pPr>
            <w:r w:rsidRPr="005C6884">
              <w:rPr>
                <w:i/>
              </w:rPr>
              <w:t>Comparaison             Transformation         Réunion</w:t>
            </w:r>
          </w:p>
          <w:p w14:paraId="4F8C3DB3" w14:textId="4E6A7F99" w:rsidR="005C6884" w:rsidRDefault="005C6884" w:rsidP="005C6884">
            <w:r>
              <w:rPr>
                <w:noProof/>
                <w:lang w:eastAsia="fr-CA"/>
              </w:rPr>
              <w:drawing>
                <wp:inline distT="0" distB="0" distL="0" distR="0" wp14:anchorId="32639123" wp14:editId="7A4EE4DB">
                  <wp:extent cx="1428750" cy="59980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012" cy="60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66ADE1BA" wp14:editId="1662ED72">
                  <wp:extent cx="1216047" cy="485775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03" cy="49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056DF452" wp14:editId="67D46579">
                  <wp:extent cx="1116042" cy="514350"/>
                  <wp:effectExtent l="0" t="0" r="825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59" cy="52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D3F1D" w14:textId="01805D5B" w:rsidR="005C6884" w:rsidRDefault="005C6884" w:rsidP="005C6884"/>
          <w:p w14:paraId="348A2288" w14:textId="7162E62B" w:rsidR="005C6884" w:rsidRDefault="005C6884" w:rsidP="005C6884">
            <w:pPr>
              <w:pStyle w:val="Paragraphedeliste"/>
              <w:numPr>
                <w:ilvl w:val="0"/>
                <w:numId w:val="2"/>
              </w:numPr>
            </w:pPr>
            <w:r>
              <w:t>Le sens de la multiplication, vu au premier cycle, devance les processus qui seront vus au 2</w:t>
            </w:r>
            <w:r w:rsidRPr="005C6884">
              <w:rPr>
                <w:vertAlign w:val="superscript"/>
              </w:rPr>
              <w:t>e</w:t>
            </w:r>
            <w:r>
              <w:t xml:space="preserve"> cycle. </w:t>
            </w:r>
          </w:p>
          <w:p w14:paraId="5C7F13B7" w14:textId="77777777" w:rsidR="003A1013" w:rsidRDefault="003A1013" w:rsidP="005C6884">
            <w:pPr>
              <w:pStyle w:val="Paragraphedeliste"/>
            </w:pPr>
          </w:p>
        </w:tc>
      </w:tr>
      <w:tr w:rsidR="005C6884" w14:paraId="1637EA68" w14:textId="77777777" w:rsidTr="001645E9">
        <w:tc>
          <w:tcPr>
            <w:tcW w:w="34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1F108B2" w14:textId="77777777" w:rsidR="003A1013" w:rsidRDefault="003A1013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8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6E7504E" w14:textId="77777777" w:rsidR="003A1013" w:rsidRDefault="003A1013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46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300B0A7" w14:textId="77777777" w:rsidR="003A1013" w:rsidRDefault="003A1013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C85DB38" w14:textId="77777777" w:rsidR="003A1013" w:rsidRDefault="003A1013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5C6884" w14:paraId="08B8A4CB" w14:textId="77777777" w:rsidTr="00BE78B8">
        <w:trPr>
          <w:trHeight w:val="1226"/>
        </w:trPr>
        <w:tc>
          <w:tcPr>
            <w:tcW w:w="3499" w:type="dxa"/>
            <w:tcBorders>
              <w:top w:val="thinThickSmallGap" w:sz="24" w:space="0" w:color="auto"/>
            </w:tcBorders>
          </w:tcPr>
          <w:p w14:paraId="7A28634E" w14:textId="77777777" w:rsidR="003A1013" w:rsidRDefault="003A1013" w:rsidP="001645E9">
            <w:pPr>
              <w:jc w:val="center"/>
            </w:pPr>
          </w:p>
        </w:tc>
        <w:tc>
          <w:tcPr>
            <w:tcW w:w="3884" w:type="dxa"/>
            <w:tcBorders>
              <w:top w:val="thinThickSmallGap" w:sz="24" w:space="0" w:color="auto"/>
            </w:tcBorders>
          </w:tcPr>
          <w:p w14:paraId="7A76AB22" w14:textId="77777777" w:rsidR="003A1013" w:rsidRDefault="003A1013" w:rsidP="001645E9">
            <w:pPr>
              <w:jc w:val="center"/>
            </w:pPr>
          </w:p>
        </w:tc>
        <w:tc>
          <w:tcPr>
            <w:tcW w:w="3464" w:type="dxa"/>
            <w:tcBorders>
              <w:top w:val="thinThickSmallGap" w:sz="24" w:space="0" w:color="auto"/>
            </w:tcBorders>
          </w:tcPr>
          <w:p w14:paraId="359024AC" w14:textId="77777777" w:rsidR="003A1013" w:rsidRDefault="003A1013" w:rsidP="001645E9">
            <w:pPr>
              <w:jc w:val="center"/>
            </w:pPr>
          </w:p>
        </w:tc>
        <w:tc>
          <w:tcPr>
            <w:tcW w:w="3463" w:type="dxa"/>
            <w:tcBorders>
              <w:top w:val="thinThickSmallGap" w:sz="24" w:space="0" w:color="auto"/>
            </w:tcBorders>
          </w:tcPr>
          <w:p w14:paraId="75DBB4EB" w14:textId="77777777" w:rsidR="003A1013" w:rsidRDefault="003A1013" w:rsidP="001645E9">
            <w:pPr>
              <w:jc w:val="center"/>
            </w:pPr>
          </w:p>
        </w:tc>
      </w:tr>
    </w:tbl>
    <w:p w14:paraId="3656B9AB" w14:textId="4B6111FE" w:rsidR="00AD68B6" w:rsidRDefault="00AD68B6" w:rsidP="00BB3DD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8"/>
        <w:gridCol w:w="597"/>
        <w:gridCol w:w="2980"/>
        <w:gridCol w:w="3578"/>
      </w:tblGrid>
      <w:tr w:rsidR="00BE78B8" w14:paraId="1EFAF50C" w14:textId="77777777" w:rsidTr="006A107B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4715A18" w14:textId="449087B5" w:rsidR="00BE78B8" w:rsidRPr="00BE78B8" w:rsidRDefault="00BE78B8" w:rsidP="00BE78B8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E78B8">
              <w:rPr>
                <w:b/>
              </w:rPr>
              <w:t>Vocabulaire</w:t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9A4FB8" w14:textId="77777777" w:rsidR="00BE78B8" w:rsidRDefault="00BE78B8" w:rsidP="006A107B">
            <w:r>
              <w:t>Le vocabulaire se développe en multipliant les situations de communication par la causerie, les centres d’apprentissage ou l’obligation de faire part de sa compréhension</w:t>
            </w:r>
            <w:proofErr w:type="gramStart"/>
            <w:r>
              <w:t>. .</w:t>
            </w:r>
            <w:proofErr w:type="gramEnd"/>
            <w:r>
              <w:t xml:space="preserve"> Le tableau d’ancrage ou l’aide-mémoire personnel et de classe permettent d’associer vocabulaire et concepts. Il est intimement lié à la réussite en mathématique. Les répétions offertes par les routines ou les jeux aident au développement. </w:t>
            </w:r>
          </w:p>
          <w:p w14:paraId="29F10935" w14:textId="77777777" w:rsidR="00BE78B8" w:rsidRDefault="00BE78B8" w:rsidP="006A107B">
            <w:r>
              <w:t xml:space="preserve"> </w:t>
            </w:r>
          </w:p>
        </w:tc>
      </w:tr>
      <w:tr w:rsidR="00BE78B8" w14:paraId="5BBA01DE" w14:textId="77777777" w:rsidTr="006A107B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C978914" w14:textId="77777777" w:rsidR="00BE78B8" w:rsidRDefault="00BE78B8" w:rsidP="006A107B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C72952F" w14:textId="77777777" w:rsidR="00BE78B8" w:rsidRDefault="00BE78B8" w:rsidP="006A107B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2D232DF" w14:textId="77777777" w:rsidR="00BE78B8" w:rsidRDefault="00BE78B8" w:rsidP="006A107B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4F66628" w14:textId="77777777" w:rsidR="00BE78B8" w:rsidRDefault="00BE78B8" w:rsidP="006A107B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BE78B8" w14:paraId="4BD2C990" w14:textId="77777777" w:rsidTr="006A107B">
        <w:trPr>
          <w:trHeight w:val="1338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09E68CB9" w14:textId="77777777" w:rsidR="00BE78B8" w:rsidRDefault="00BE78B8" w:rsidP="006A107B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6CB15E56" w14:textId="77777777" w:rsidR="00BE78B8" w:rsidRDefault="00BE78B8" w:rsidP="006A107B"/>
        </w:tc>
        <w:tc>
          <w:tcPr>
            <w:tcW w:w="3577" w:type="dxa"/>
            <w:gridSpan w:val="2"/>
            <w:tcBorders>
              <w:top w:val="thinThickSmallGap" w:sz="24" w:space="0" w:color="auto"/>
            </w:tcBorders>
          </w:tcPr>
          <w:p w14:paraId="6B7CEDDE" w14:textId="77777777" w:rsidR="00BE78B8" w:rsidRDefault="00BE78B8" w:rsidP="006A107B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32BE5BC1" w14:textId="77777777" w:rsidR="00BE78B8" w:rsidRDefault="00BE78B8" w:rsidP="006A107B">
            <w:pPr>
              <w:jc w:val="center"/>
            </w:pPr>
          </w:p>
        </w:tc>
      </w:tr>
    </w:tbl>
    <w:p w14:paraId="65FC1D08" w14:textId="4DE83BE8" w:rsidR="003A1013" w:rsidRDefault="003A1013" w:rsidP="00BB3DD6">
      <w:pPr>
        <w:jc w:val="center"/>
      </w:pPr>
    </w:p>
    <w:p w14:paraId="614F0B8C" w14:textId="77777777" w:rsidR="00BE78B8" w:rsidRDefault="00BE78B8" w:rsidP="00BB3DD6">
      <w:pPr>
        <w:jc w:val="center"/>
      </w:pPr>
    </w:p>
    <w:p w14:paraId="0DB12648" w14:textId="4F5BB751" w:rsidR="003A1013" w:rsidRDefault="003A1013" w:rsidP="00BE78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598"/>
        <w:gridCol w:w="2980"/>
        <w:gridCol w:w="3578"/>
      </w:tblGrid>
      <w:tr w:rsidR="009B5A8E" w14:paraId="3FB34424" w14:textId="77777777" w:rsidTr="3C73DAAD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5209824" w14:textId="3D7A4A51" w:rsidR="005C6884" w:rsidRPr="00602CD7" w:rsidRDefault="005C6884" w:rsidP="005C6884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602CD7">
              <w:rPr>
                <w:b/>
              </w:rPr>
              <w:t>Processus de calcul mental</w:t>
            </w:r>
            <w:r w:rsidR="0032166D">
              <w:rPr>
                <w:b/>
              </w:rPr>
              <w:t xml:space="preserve"> et répertoire mémorisé</w:t>
            </w:r>
          </w:p>
          <w:p w14:paraId="45FB0818" w14:textId="77777777" w:rsidR="009B5A8E" w:rsidRDefault="009B5A8E" w:rsidP="001645E9">
            <w:r>
              <w:rPr>
                <w:noProof/>
                <w:lang w:eastAsia="fr-CA"/>
              </w:rPr>
              <w:drawing>
                <wp:inline distT="0" distB="0" distL="0" distR="0" wp14:anchorId="5A183AD9" wp14:editId="115A5479">
                  <wp:extent cx="4779056" cy="813435"/>
                  <wp:effectExtent l="0" t="0" r="2540" b="571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56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F31CB" w14:textId="77777777" w:rsidR="009B5A8E" w:rsidRDefault="009B5A8E" w:rsidP="001645E9">
            <w:r>
              <w:rPr>
                <w:noProof/>
                <w:lang w:eastAsia="fr-CA"/>
              </w:rPr>
              <w:drawing>
                <wp:inline distT="0" distB="0" distL="0" distR="0" wp14:anchorId="1B8A3260" wp14:editId="0A29BE95">
                  <wp:extent cx="4746623" cy="114874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623" cy="114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705DEECF" wp14:editId="74A0B444">
                  <wp:extent cx="4746623" cy="1009976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623" cy="100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89D9FB" w14:textId="051BC3C3" w:rsidR="005C6884" w:rsidRDefault="005C6884" w:rsidP="001645E9">
            <w:r>
              <w:t>Stratégies de calcul mental :</w:t>
            </w:r>
          </w:p>
          <w:p w14:paraId="7DB32AA7" w14:textId="4D190962" w:rsidR="004F28BD" w:rsidRDefault="00F86A41" w:rsidP="001645E9">
            <w:hyperlink r:id="rId25" w:history="1">
              <w:r w:rsidR="004F28BD" w:rsidRPr="006A2A91">
                <w:rPr>
                  <w:rStyle w:val="Lienhypertexte"/>
                </w:rPr>
                <w:t>https://se.csbe.qc.ca/mathprimaire/2021/01/08/fluidite-et-calcul-mental/</w:t>
              </w:r>
            </w:hyperlink>
            <w:r w:rsidR="004F28BD">
              <w:t xml:space="preserve"> </w:t>
            </w:r>
          </w:p>
          <w:p w14:paraId="026BD84C" w14:textId="74A51F6A" w:rsidR="009B5A8E" w:rsidRDefault="009B5A8E" w:rsidP="001645E9">
            <w:r>
              <w:t>PDA amendée : p. 35, 36, 46 et 47</w:t>
            </w:r>
          </w:p>
          <w:p w14:paraId="6219FE19" w14:textId="5185EC54" w:rsidR="009B5A8E" w:rsidRDefault="009B5A8E" w:rsidP="001645E9"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 xml:space="preserve"> T1 : p. </w:t>
            </w:r>
            <w:proofErr w:type="gramStart"/>
            <w:r>
              <w:t>169  T</w:t>
            </w:r>
            <w:proofErr w:type="gramEnd"/>
            <w:r>
              <w:t>2 : p. 108</w:t>
            </w:r>
          </w:p>
          <w:p w14:paraId="19C846BB" w14:textId="30105FB8" w:rsidR="007C0BA9" w:rsidRDefault="007C0BA9" w:rsidP="001645E9">
            <w:r>
              <w:t xml:space="preserve">Aborder trop tôt les processus conventionnels ferment une belle porte d’opportunité s’intéressant à des stratégies de calcul mental riches et variées. </w:t>
            </w:r>
          </w:p>
          <w:p w14:paraId="6901C8F0" w14:textId="77777777" w:rsidR="009B5A8E" w:rsidRDefault="009B5A8E" w:rsidP="001645E9">
            <w:r w:rsidRPr="00515571">
              <w:rPr>
                <w:u w:val="single"/>
              </w:rPr>
              <w:t>AMI</w:t>
            </w:r>
            <w:r>
              <w:t xml:space="preserve"> : boulier </w:t>
            </w:r>
            <w:proofErr w:type="spellStart"/>
            <w:r>
              <w:t>Rekenrek</w:t>
            </w:r>
            <w:proofErr w:type="spellEnd"/>
          </w:p>
          <w:p w14:paraId="6948B380" w14:textId="77777777" w:rsidR="009B5A8E" w:rsidRDefault="009B5A8E" w:rsidP="001645E9">
            <w:r>
              <w:t xml:space="preserve">Séquence d’apprentissage avec le boulier </w:t>
            </w:r>
            <w:proofErr w:type="spellStart"/>
            <w:r>
              <w:t>Rekenrek</w:t>
            </w:r>
            <w:proofErr w:type="spellEnd"/>
            <w:r>
              <w:t xml:space="preserve"> : </w:t>
            </w:r>
            <w:hyperlink r:id="rId26" w:history="1">
              <w:r w:rsidRPr="00653E4F">
                <w:rPr>
                  <w:rStyle w:val="Lienhypertexte"/>
                </w:rPr>
                <w:t>https://se.csbe.qc.ca/mathprimaire/2019/12/11/subitisation-et-boulier-rekenrek/</w:t>
              </w:r>
            </w:hyperlink>
            <w:r>
              <w:t xml:space="preserve"> </w:t>
            </w:r>
          </w:p>
          <w:p w14:paraId="1C8C92BC" w14:textId="77777777" w:rsidR="004F28BD" w:rsidRDefault="004F28BD" w:rsidP="001645E9"/>
          <w:p w14:paraId="3464225A" w14:textId="57E4B79E" w:rsidR="004F28BD" w:rsidRDefault="004F28BD" w:rsidP="001645E9"/>
        </w:tc>
      </w:tr>
      <w:tr w:rsidR="009B5A8E" w14:paraId="2CD57E10" w14:textId="77777777" w:rsidTr="3C73DAAD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E5A63F" w14:textId="77777777" w:rsidR="009B5A8E" w:rsidRDefault="009B5A8E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BCF86EC" w14:textId="77777777" w:rsidR="009B5A8E" w:rsidRDefault="009B5A8E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BE3A187" w14:textId="77777777" w:rsidR="009B5A8E" w:rsidRDefault="009B5A8E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EA33063" w14:textId="77777777" w:rsidR="009B5A8E" w:rsidRDefault="009B5A8E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9B5A8E" w14:paraId="53128261" w14:textId="77777777" w:rsidTr="00BE78B8">
        <w:trPr>
          <w:trHeight w:val="3155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62486C05" w14:textId="77777777" w:rsidR="009B5A8E" w:rsidRDefault="009B5A8E" w:rsidP="001645E9">
            <w:pPr>
              <w:jc w:val="center"/>
            </w:pPr>
          </w:p>
        </w:tc>
        <w:tc>
          <w:tcPr>
            <w:tcW w:w="3577" w:type="dxa"/>
            <w:tcBorders>
              <w:top w:val="thinThickSmallGap" w:sz="24" w:space="0" w:color="auto"/>
            </w:tcBorders>
          </w:tcPr>
          <w:p w14:paraId="4101652C" w14:textId="77777777" w:rsidR="009B5A8E" w:rsidRDefault="009B5A8E" w:rsidP="001645E9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thinThickSmallGap" w:sz="24" w:space="0" w:color="auto"/>
            </w:tcBorders>
          </w:tcPr>
          <w:p w14:paraId="4B99056E" w14:textId="346E357B" w:rsidR="009B5A8E" w:rsidRDefault="0032166D" w:rsidP="001645E9">
            <w:pPr>
              <w:jc w:val="center"/>
            </w:pPr>
            <w:r>
              <w:t>Maitrise faits numériques (+) 3</w:t>
            </w:r>
            <w:r w:rsidRPr="0032166D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1299C43A" w14:textId="4B5B55CC" w:rsidR="009B5A8E" w:rsidRDefault="0032166D" w:rsidP="001645E9">
            <w:pPr>
              <w:jc w:val="center"/>
            </w:pPr>
            <w:r>
              <w:t>Maitrise  faits numérique(x) 5</w:t>
            </w:r>
            <w:r w:rsidRPr="0032166D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</w:tbl>
    <w:p w14:paraId="4DDBEF00" w14:textId="137749CD" w:rsidR="009B5A8E" w:rsidRDefault="009B5A8E" w:rsidP="00BB3DD6">
      <w:pPr>
        <w:jc w:val="center"/>
      </w:pPr>
    </w:p>
    <w:p w14:paraId="6256E75B" w14:textId="307AD2A7" w:rsidR="0032166D" w:rsidRDefault="0032166D" w:rsidP="00BB3DD6">
      <w:pPr>
        <w:jc w:val="center"/>
      </w:pPr>
    </w:p>
    <w:p w14:paraId="72F00D82" w14:textId="7E4320F2" w:rsidR="00BE78B8" w:rsidRDefault="00BE78B8" w:rsidP="00BB3DD6">
      <w:pPr>
        <w:jc w:val="center"/>
      </w:pPr>
    </w:p>
    <w:p w14:paraId="7053D354" w14:textId="77777777" w:rsidR="00BE78B8" w:rsidRDefault="00BE78B8" w:rsidP="00BB3DD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8"/>
        <w:gridCol w:w="597"/>
        <w:gridCol w:w="2980"/>
        <w:gridCol w:w="3578"/>
      </w:tblGrid>
      <w:tr w:rsidR="0032166D" w14:paraId="398A4242" w14:textId="77777777" w:rsidTr="00802ABE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AB2EFA7" w14:textId="06AB83E4" w:rsidR="0032166D" w:rsidRPr="00802ABE" w:rsidRDefault="00802ABE" w:rsidP="00802ABE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Faire une approximation, </w:t>
            </w:r>
            <w:r w:rsidRPr="00602CD7">
              <w:rPr>
                <w:b/>
              </w:rPr>
              <w:t>une estimation</w:t>
            </w:r>
            <w:r>
              <w:rPr>
                <w:b/>
              </w:rPr>
              <w:t xml:space="preserve"> (mesure) et arrondir</w:t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9CECD5" w14:textId="77777777" w:rsidR="0032166D" w:rsidRDefault="00E3632C" w:rsidP="001645E9">
            <w:r>
              <w:t>Effet de la transformation d’un facteur pour faire une approximation.</w:t>
            </w:r>
          </w:p>
          <w:p w14:paraId="06B6A291" w14:textId="4A53EF21" w:rsidR="00802ABE" w:rsidRDefault="00802ABE" w:rsidP="00802ABE">
            <w:r>
              <w:t xml:space="preserve">Calcul mental : multiplier par </w:t>
            </w:r>
            <w:proofErr w:type="gramStart"/>
            <w:r>
              <w:t>10 ,</w:t>
            </w:r>
            <w:proofErr w:type="gramEnd"/>
            <w:r>
              <w:t xml:space="preserve"> 100, 1000</w:t>
            </w:r>
          </w:p>
          <w:p w14:paraId="1109AD37" w14:textId="56C14297" w:rsidR="00A3035C" w:rsidRDefault="00BC6CFF" w:rsidP="00802ABE">
            <w:r>
              <w:t xml:space="preserve">Estimer des mesures réelles aide à comprendre les unités de mesure : près de 1 kg, près de 10km, une température hivernale, etc. </w:t>
            </w:r>
          </w:p>
          <w:p w14:paraId="2A9C8E95" w14:textId="77777777" w:rsidR="00802ABE" w:rsidRDefault="00A3035C" w:rsidP="00802ABE">
            <w:r>
              <w:t xml:space="preserve">Un « nombre proche » facilite le calcul, Van de </w:t>
            </w:r>
            <w:proofErr w:type="spellStart"/>
            <w:r>
              <w:t>Walle</w:t>
            </w:r>
            <w:proofErr w:type="spellEnd"/>
            <w:r>
              <w:t xml:space="preserve"> T1 : p. 151</w:t>
            </w:r>
          </w:p>
          <w:p w14:paraId="7A480F92" w14:textId="28C28ACF" w:rsidR="00A3035C" w:rsidRDefault="00A3035C" w:rsidP="00802ABE">
            <w:r>
              <w:t>Utiliser la droite numérique</w:t>
            </w:r>
          </w:p>
        </w:tc>
      </w:tr>
      <w:tr w:rsidR="0032166D" w14:paraId="5F2F983A" w14:textId="77777777" w:rsidTr="00802ABE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81CBF50" w14:textId="77777777" w:rsidR="0032166D" w:rsidRDefault="0032166D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1E411AA" w14:textId="77777777" w:rsidR="0032166D" w:rsidRDefault="0032166D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5868A0A" w14:textId="77777777" w:rsidR="0032166D" w:rsidRDefault="0032166D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56A6EF6" w14:textId="77777777" w:rsidR="0032166D" w:rsidRDefault="0032166D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32166D" w14:paraId="7EDF0D44" w14:textId="77777777" w:rsidTr="00BE78B8">
        <w:trPr>
          <w:trHeight w:val="2526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3FEFC023" w14:textId="77777777" w:rsidR="0032166D" w:rsidRDefault="0032166D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6BAADB19" w14:textId="66210AF3" w:rsidR="0032166D" w:rsidRDefault="00A3035C" w:rsidP="001645E9">
            <w:pPr>
              <w:jc w:val="center"/>
            </w:pPr>
            <w:r>
              <w:t>« Environ »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</w:tcBorders>
          </w:tcPr>
          <w:p w14:paraId="14A44CDD" w14:textId="339B401B" w:rsidR="0032166D" w:rsidRDefault="00802ABE" w:rsidP="001645E9">
            <w:pPr>
              <w:jc w:val="center"/>
            </w:pPr>
            <w:r>
              <w:rPr>
                <w:rFonts w:eastAsiaTheme="minorEastAsia"/>
              </w:rPr>
              <w:t>Nombres décimaux +,-</w:t>
            </w: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2EC48806" w14:textId="77777777" w:rsidR="0032166D" w:rsidRDefault="00E3632C" w:rsidP="001645E9">
            <w:pPr>
              <w:jc w:val="center"/>
            </w:pPr>
            <w:r>
              <w:t>68x8=?  68x</w:t>
            </w:r>
            <w:r w:rsidRPr="00E3632C">
              <w:rPr>
                <w:b/>
              </w:rPr>
              <w:t>10</w:t>
            </w:r>
            <w:r>
              <w:t xml:space="preserve">=680 ou </w:t>
            </w:r>
            <w:r w:rsidRPr="00E3632C">
              <w:rPr>
                <w:b/>
              </w:rPr>
              <w:t>70</w:t>
            </w:r>
            <w:r>
              <w:t>x8= 560</w:t>
            </w:r>
          </w:p>
          <w:p w14:paraId="35A72FD1" w14:textId="77777777" w:rsidR="00E3632C" w:rsidRDefault="00E3632C" w:rsidP="00E3632C">
            <w:pPr>
              <w:jc w:val="center"/>
              <w:rPr>
                <w:rFonts w:eastAsiaTheme="minorEastAsia"/>
              </w:rPr>
            </w:pPr>
            <w:r>
              <w:t>450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>7=?  490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>7=70 ou  450</w:t>
            </w:r>
            <m:oMath>
              <m:r>
                <w:rPr>
                  <w:rFonts w:ascii="Cambria Math" w:hAnsi="Cambria Math"/>
                </w:rPr>
                <m:t>÷9</m:t>
              </m:r>
            </m:oMath>
            <w:r>
              <w:rPr>
                <w:rFonts w:eastAsiaTheme="minorEastAsia"/>
              </w:rPr>
              <w:t>=50</w:t>
            </w:r>
          </w:p>
          <w:p w14:paraId="2F762B69" w14:textId="77777777" w:rsidR="00802ABE" w:rsidRDefault="00802ABE" w:rsidP="00E36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39x31=?   40x30=1200</w:t>
            </w:r>
          </w:p>
          <w:p w14:paraId="7E257AA5" w14:textId="3DBB1D88" w:rsidR="00802ABE" w:rsidRDefault="00802ABE" w:rsidP="00E3632C">
            <w:pPr>
              <w:jc w:val="center"/>
            </w:pPr>
            <w:r>
              <w:rPr>
                <w:rFonts w:eastAsiaTheme="minorEastAsia"/>
              </w:rPr>
              <w:t>Nombres décimaux +,-,x,</w:t>
            </w:r>
            <m:oMath>
              <m:r>
                <w:rPr>
                  <w:rFonts w:ascii="Cambria Math" w:hAnsi="Cambria Math"/>
                </w:rPr>
                <m:t xml:space="preserve"> ÷</m:t>
              </m:r>
            </m:oMath>
          </w:p>
        </w:tc>
      </w:tr>
    </w:tbl>
    <w:p w14:paraId="4E0CD753" w14:textId="77777777" w:rsidR="0032166D" w:rsidRDefault="0032166D" w:rsidP="0032166D"/>
    <w:p w14:paraId="6A1E626D" w14:textId="77777777" w:rsidR="0032166D" w:rsidRDefault="0032166D" w:rsidP="00BB3DD6">
      <w:pPr>
        <w:jc w:val="center"/>
      </w:pPr>
    </w:p>
    <w:p w14:paraId="3461D779" w14:textId="77777777" w:rsidR="009B5A8E" w:rsidRDefault="009B5A8E" w:rsidP="00BB3DD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598"/>
        <w:gridCol w:w="2980"/>
        <w:gridCol w:w="3578"/>
      </w:tblGrid>
      <w:tr w:rsidR="009B5A8E" w14:paraId="0EE85B9B" w14:textId="77777777" w:rsidTr="3C73DAAD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C9C33D8" w14:textId="0687CA4A" w:rsidR="008E7106" w:rsidRDefault="008E7106" w:rsidP="007C0BA9">
            <w:pPr>
              <w:pStyle w:val="Paragraphedeliste"/>
              <w:numPr>
                <w:ilvl w:val="0"/>
                <w:numId w:val="5"/>
              </w:numPr>
            </w:pPr>
            <w:r w:rsidRPr="007C0BA9">
              <w:rPr>
                <w:b/>
              </w:rPr>
              <w:t>Processus de calcul écrit</w:t>
            </w:r>
            <w:r>
              <w:t xml:space="preserve"> personnels vers conventionnels (1</w:t>
            </w:r>
            <w:r w:rsidRPr="007C0BA9">
              <w:rPr>
                <w:vertAlign w:val="superscript"/>
              </w:rPr>
              <w:t>re</w:t>
            </w:r>
            <w:r>
              <w:t xml:space="preserve"> à 4</w:t>
            </w:r>
            <w:r w:rsidRPr="007C0BA9">
              <w:rPr>
                <w:vertAlign w:val="superscript"/>
              </w:rPr>
              <w:t>e</w:t>
            </w:r>
            <w:r>
              <w:t xml:space="preserve"> année : addition, soustraction)</w:t>
            </w:r>
          </w:p>
          <w:p w14:paraId="3CF2D8B6" w14:textId="77777777" w:rsidR="009B5A8E" w:rsidRDefault="009B5A8E" w:rsidP="001645E9">
            <w:r>
              <w:rPr>
                <w:noProof/>
                <w:lang w:eastAsia="fr-CA"/>
              </w:rPr>
              <w:drawing>
                <wp:inline distT="0" distB="0" distL="0" distR="0" wp14:anchorId="42776EBF" wp14:editId="65184E7A">
                  <wp:extent cx="4746706" cy="101790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706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0DB8A3" w14:textId="77777777" w:rsidR="009B5A8E" w:rsidRDefault="009B5A8E" w:rsidP="001645E9">
            <w:r>
              <w:t xml:space="preserve">PDA amendée : p. </w:t>
            </w:r>
            <w:r w:rsidR="00D356A1">
              <w:t xml:space="preserve">33,34 et </w:t>
            </w:r>
            <w:r>
              <w:t>35</w:t>
            </w:r>
          </w:p>
          <w:p w14:paraId="7E95FE14" w14:textId="77777777" w:rsidR="009B5A8E" w:rsidRDefault="009B5A8E" w:rsidP="001645E9">
            <w:r>
              <w:t>Exemple de processus personnels : PDA amendée p. 41 et 42</w:t>
            </w:r>
          </w:p>
          <w:p w14:paraId="7F920AF2" w14:textId="77777777" w:rsidR="009B5A8E" w:rsidRDefault="009B5A8E" w:rsidP="001645E9"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 xml:space="preserve"> T1 : p. 72 à </w:t>
            </w:r>
            <w:proofErr w:type="gramStart"/>
            <w:r>
              <w:t>78  T</w:t>
            </w:r>
            <w:proofErr w:type="gramEnd"/>
            <w:r>
              <w:t>2 : 109 à 117</w:t>
            </w:r>
          </w:p>
          <w:p w14:paraId="0FB78278" w14:textId="77777777" w:rsidR="009B5A8E" w:rsidRDefault="009B5A8E" w:rsidP="001645E9"/>
          <w:p w14:paraId="7AC86CAB" w14:textId="77777777" w:rsidR="009B5A8E" w:rsidRDefault="009B5A8E" w:rsidP="001645E9">
            <w:r>
              <w:t xml:space="preserve">Ruban Word : </w:t>
            </w:r>
            <w:hyperlink r:id="rId28" w:history="1">
              <w:r w:rsidRPr="00653E4F">
                <w:rPr>
                  <w:rStyle w:val="Lienhypertexte"/>
                </w:rPr>
                <w:t>https://se.csbe.qc.ca/mathprimaire/2020/10/07/traces-et-flexibilite-aides-technologiques/</w:t>
              </w:r>
            </w:hyperlink>
            <w:r>
              <w:t xml:space="preserve"> </w:t>
            </w:r>
          </w:p>
          <w:p w14:paraId="1FC39945" w14:textId="77777777" w:rsidR="009B5A8E" w:rsidRDefault="009B5A8E" w:rsidP="001645E9"/>
        </w:tc>
      </w:tr>
      <w:tr w:rsidR="009B5A8E" w14:paraId="6CD4DE09" w14:textId="77777777" w:rsidTr="3C73DAAD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3ADCB5D9" w14:textId="244736DC" w:rsidR="008E7106" w:rsidRDefault="008E7106" w:rsidP="00BC6CFF">
            <w:pPr>
              <w:pStyle w:val="Paragraphedeliste"/>
            </w:pPr>
            <w:r w:rsidRPr="00602CD7">
              <w:rPr>
                <w:b/>
              </w:rPr>
              <w:t>Processus de calcul écrit</w:t>
            </w:r>
            <w:r>
              <w:t xml:space="preserve"> personnels vers conventionnels (3</w:t>
            </w:r>
            <w:r w:rsidRPr="008E7106">
              <w:rPr>
                <w:vertAlign w:val="superscript"/>
              </w:rPr>
              <w:t>e</w:t>
            </w:r>
            <w:r>
              <w:t xml:space="preserve"> à 6</w:t>
            </w:r>
            <w:r w:rsidRPr="008E7106">
              <w:rPr>
                <w:vertAlign w:val="superscript"/>
              </w:rPr>
              <w:t>e</w:t>
            </w:r>
            <w:r>
              <w:t xml:space="preserve"> année : multiplication, division)</w:t>
            </w:r>
          </w:p>
          <w:p w14:paraId="0562CB0E" w14:textId="193C56DA" w:rsidR="009B5A8E" w:rsidRDefault="009B5A8E" w:rsidP="001645E9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F2914F8" wp14:editId="608744D5">
                  <wp:extent cx="4746623" cy="112600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623" cy="11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C6E71D" w14:textId="77777777" w:rsidR="009B5A8E" w:rsidRDefault="009B5A8E" w:rsidP="001645E9">
            <w:r>
              <w:t xml:space="preserve">PDA amendée : p. </w:t>
            </w:r>
            <w:proofErr w:type="gramStart"/>
            <w:r>
              <w:t>36  (</w:t>
            </w:r>
            <w:proofErr w:type="gramEnd"/>
            <w:r>
              <w:t>SENS : p. 21, 26, 27 et 28))</w:t>
            </w:r>
          </w:p>
          <w:p w14:paraId="09A3A88D" w14:textId="77777777" w:rsidR="009B5A8E" w:rsidRDefault="009B5A8E" w:rsidP="001645E9">
            <w:r>
              <w:t>Au 1</w:t>
            </w:r>
            <w:r w:rsidRPr="00524C3F">
              <w:rPr>
                <w:vertAlign w:val="superscript"/>
              </w:rPr>
              <w:t>er</w:t>
            </w:r>
            <w:r>
              <w:t xml:space="preserve"> cycle SENS de la multiplication et de la division sans développer de processus de calcul écrit : disposition rectangulaire, addition répétée, produit cartésien, partage et contenance.</w:t>
            </w:r>
          </w:p>
          <w:p w14:paraId="0E2D1F51" w14:textId="77777777" w:rsidR="009B5A8E" w:rsidRDefault="009B5A8E" w:rsidP="001645E9">
            <w:r>
              <w:t>2</w:t>
            </w:r>
            <w:r w:rsidRPr="00524C3F">
              <w:rPr>
                <w:vertAlign w:val="superscript"/>
              </w:rPr>
              <w:t>e</w:t>
            </w:r>
            <w:r>
              <w:t>, 3</w:t>
            </w:r>
            <w:r w:rsidRPr="00524C3F">
              <w:rPr>
                <w:vertAlign w:val="superscript"/>
              </w:rPr>
              <w:t>e</w:t>
            </w:r>
            <w:r>
              <w:t xml:space="preserve"> cycle : aire, volume, soustraction répétée, comparaison</w:t>
            </w:r>
          </w:p>
          <w:p w14:paraId="4E94753E" w14:textId="77777777" w:rsidR="009B5A8E" w:rsidRDefault="009B5A8E" w:rsidP="001645E9"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 xml:space="preserve"> T1 : p. 79 à 94    T2 : 118 à 133</w:t>
            </w:r>
          </w:p>
          <w:p w14:paraId="29135064" w14:textId="6C4F20C7" w:rsidR="009B5A8E" w:rsidRDefault="009B5A8E" w:rsidP="001645E9"/>
          <w:p w14:paraId="34CE0A41" w14:textId="3DB5F57E" w:rsidR="007C0BA9" w:rsidRPr="00BE78B8" w:rsidRDefault="007C0BA9" w:rsidP="00BE78B8">
            <w:pPr>
              <w:pStyle w:val="paragraph"/>
              <w:spacing w:before="0" w:beforeAutospacing="0" w:after="0" w:afterAutospacing="0"/>
              <w:ind w:left="105" w:right="75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ECFFD" wp14:editId="403878FA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64770</wp:posOffset>
                      </wp:positionV>
                      <wp:extent cx="161925" cy="476250"/>
                      <wp:effectExtent l="19050" t="0" r="28575" b="38100"/>
                      <wp:wrapNone/>
                      <wp:docPr id="20" name="Flèche courbée vers la gau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762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2042A9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20" o:spid="_x0000_s1026" type="#_x0000_t103" style="position:absolute;margin-left:270.75pt;margin-top:5.1pt;width:12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6JkQIAAFsFAAAOAAAAZHJzL2Uyb0RvYy54bWysVMFu2zAMvQ/YPwi6r46DpF2DOEXQosOA&#10;oC3WDj0rspQYkEWNkuNkX7R9R39slOy4RVvsMCwHRRTJR/H5UfOLfW3YTqGvwBY8PxlxpqyEsrKb&#10;gn9/uP70mTMfhC2FAasKflCeXyw+fpi3bqbGsAVTKmQEYv2sdQXfhuBmWeblVtXCn4BTlpwasBaB&#10;TNxkJYqW0GuTjUej06wFLB2CVN7T6VXn5IuEr7WS4VZrrwIzBae7hbRiWtdxzRZzMdugcNtK9tcQ&#10;/3CLWlSWig5QVyII1mD1BqquJIIHHU4k1BloXUmVeqBu8tGrbu63wqnUC5Hj3UCT/3+w8mZ3h6wq&#10;Cz4meqyo6Rtdm6dfxD+T0OD66bdK35cZwTaiiecUSbS1zs8o+97dYW952kYO9hrr+E/dsX2i+jBQ&#10;rfaBSTrMT/Pz8ZQzSa7J2el4mjCz52SHPnxRULO4KbhscKfKldJhiQht4lrsVj5Qbco6RpMR79Xd&#10;JO3Cwah4GWO/KU2NUu1xyk4SU5cG2U6QOISUyoa8c21FSV3H4+mIfrFdKjJkJCsBRmRdGTNg9wBR&#10;vm+xO5g+PqaqpNAhefS3i3XJQ0aqDDYMyXVlAd8DMNRVX7mLP5LUURNZWkN5IBkgdPPhnbyuiPaV&#10;8OFOIA0EaYOGPNzSog20BYd+x9kW8Od75zGedEpezloasIL7H41AxZn5aknB5/lkEicyGZPpWdQf&#10;vvSsX3psU18CfY+cnhMn0zbGB3PcaoT6kd6CZaxKLmEl1SbhBDwal6EbfHpNpFouUxhNoRNhZe+d&#10;jOCR1ailh/2jQNdrL5Bob+A4jGL2SnddbMy0sGwC6CqJ8pnXnm+a4CSc/rWJT8RLO0U9v4mLPwAA&#10;AP//AwBQSwMEFAAGAAgAAAAhANINJ57gAAAACQEAAA8AAABkcnMvZG93bnJldi54bWxMj0FLw0AQ&#10;he+C/2EZwZvdNJimxGxKUYoiQjH24HGbHbOp2dmQ3bbRX+940uPwPt58r1xNrhcnHEPnScF8loBA&#10;arzpqFWwe9vcLEGEqMno3hMq+MIAq+ryotSF8Wd6xVMdW8ElFAqtwMY4FFKGxqLTYeYHJM4+/Oh0&#10;5HNspRn1mctdL9MkWUinO+IPVg94b7H5rI9OwfdhvbHxpX4+5A/5dveUD/b9cVDq+mpa34GIOMU/&#10;GH71WR0qdtr7I5kgegXZ7TxjlIMkBcFAtsh53F7BMktBVqX8v6D6AQAA//8DAFBLAQItABQABgAI&#10;AAAAIQC2gziS/gAAAOEBAAATAAAAAAAAAAAAAAAAAAAAAABbQ29udGVudF9UeXBlc10ueG1sUEsB&#10;Ai0AFAAGAAgAAAAhADj9If/WAAAAlAEAAAsAAAAAAAAAAAAAAAAALwEAAF9yZWxzLy5yZWxzUEsB&#10;Ai0AFAAGAAgAAAAhANQBromRAgAAWwUAAA4AAAAAAAAAAAAAAAAALgIAAGRycy9lMm9Eb2MueG1s&#10;UEsBAi0AFAAGAAgAAAAhANINJ57gAAAACQEAAA8AAAAAAAAAAAAAAAAA6wQAAGRycy9kb3ducmV2&#10;LnhtbFBLBQYAAAAABAAEAPMAAAD4BQAAAAA=&#10;" adj="17928,20682,5400" fillcolor="#5b9bd5 [3204]" strokecolor="#1f4d78 [1604]" strokeweight="1pt"/>
                  </w:pict>
                </mc:Fallback>
              </mc:AlternateConten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Van de </w:t>
            </w:r>
            <w:proofErr w:type="spell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Walle</w:t>
            </w:r>
            <w:proofErr w:type="spell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, T 1 : p. 167. Pourquoi des processus personnels?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7106" w14:paraId="77139FCD" w14:textId="77777777" w:rsidTr="001645E9">
        <w:tc>
          <w:tcPr>
            <w:tcW w:w="1431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A9D04E" w14:textId="16E29415" w:rsidR="008E7106" w:rsidRPr="007069DF" w:rsidRDefault="008E7106" w:rsidP="007069DF">
            <w:pPr>
              <w:pStyle w:val="Paragraphedeliste"/>
              <w:numPr>
                <w:ilvl w:val="0"/>
                <w:numId w:val="2"/>
              </w:numPr>
            </w:pPr>
            <w:r w:rsidRPr="007069DF">
              <w:lastRenderedPageBreak/>
              <w:t xml:space="preserve">Les concepts en </w:t>
            </w:r>
            <w:r w:rsidRPr="007069DF">
              <w:rPr>
                <w:u w:val="single"/>
              </w:rPr>
              <w:t>base dix</w:t>
            </w:r>
            <w:r w:rsidRPr="007069DF">
              <w:t xml:space="preserve"> sont renforcés : valeur de position et décomposition des nombres.  </w:t>
            </w:r>
          </w:p>
          <w:p w14:paraId="5FA93D64" w14:textId="6A92B325" w:rsidR="008E7106" w:rsidRPr="007069DF" w:rsidRDefault="008E7106" w:rsidP="007069DF">
            <w:pPr>
              <w:pStyle w:val="Paragraphedeliste"/>
              <w:numPr>
                <w:ilvl w:val="0"/>
                <w:numId w:val="2"/>
              </w:numPr>
            </w:pPr>
            <w:r w:rsidRPr="007069DF">
              <w:t xml:space="preserve">Les élèves font </w:t>
            </w:r>
            <w:r w:rsidRPr="007069DF">
              <w:rPr>
                <w:u w:val="single"/>
              </w:rPr>
              <w:t>moins d’erreurs</w:t>
            </w:r>
            <w:r w:rsidRPr="007069DF">
              <w:t xml:space="preserve"> parce qu’ils utilisent des méthodes qu’ils comprennent.  </w:t>
            </w:r>
          </w:p>
          <w:p w14:paraId="7AA5054F" w14:textId="7F7CBAA4" w:rsidR="008E7106" w:rsidRPr="007069DF" w:rsidRDefault="008E7106" w:rsidP="007069DF">
            <w:pPr>
              <w:pStyle w:val="Paragraphedeliste"/>
              <w:numPr>
                <w:ilvl w:val="0"/>
                <w:numId w:val="2"/>
              </w:numPr>
            </w:pPr>
            <w:r w:rsidRPr="007069DF">
              <w:t xml:space="preserve">Il est moins nécessaire de reprendre l’enseignement. Les élèves </w:t>
            </w:r>
            <w:r w:rsidRPr="007069DF">
              <w:rPr>
                <w:u w:val="single"/>
              </w:rPr>
              <w:t>utilisent rarement une stratégie inventée qu’ils ne comprennent pas</w:t>
            </w:r>
            <w:r w:rsidRPr="007069DF">
              <w:t>. Les liens entre les idées sous-jacentes et le sens des nombres sont solides, ce qui confère aux stratégies un caractère plus permanent. À l’inverse, on remarque que les élèves ont souvent recours aux algorithmes traditionnels sans pouvoir expliquer pourquoi ils fonctionnent.  </w:t>
            </w:r>
          </w:p>
          <w:p w14:paraId="27C99BB1" w14:textId="2265D166" w:rsidR="008E7106" w:rsidRPr="007069DF" w:rsidRDefault="008E7106" w:rsidP="007069DF">
            <w:pPr>
              <w:pStyle w:val="Paragraphedeliste"/>
              <w:numPr>
                <w:ilvl w:val="0"/>
                <w:numId w:val="2"/>
              </w:numPr>
            </w:pPr>
            <w:r w:rsidRPr="007069DF">
              <w:t xml:space="preserve">Les stratégies inventées offrent un point de départ pour le </w:t>
            </w:r>
            <w:r w:rsidRPr="007069DF">
              <w:rPr>
                <w:u w:val="single"/>
              </w:rPr>
              <w:t>calcul mental et l’estimation.</w:t>
            </w:r>
            <w:r w:rsidRPr="007069DF">
              <w:t>  </w:t>
            </w:r>
          </w:p>
          <w:p w14:paraId="05A28012" w14:textId="7AF86CF3" w:rsidR="008E7106" w:rsidRPr="007069DF" w:rsidRDefault="008E7106" w:rsidP="007069DF">
            <w:pPr>
              <w:pStyle w:val="Paragraphedeliste"/>
              <w:numPr>
                <w:ilvl w:val="0"/>
                <w:numId w:val="2"/>
              </w:numPr>
            </w:pPr>
            <w:r w:rsidRPr="007069DF">
              <w:t xml:space="preserve">Flexibles, les stratégies inventées sont souvent </w:t>
            </w:r>
            <w:r w:rsidRPr="007069DF">
              <w:rPr>
                <w:u w:val="single"/>
              </w:rPr>
              <w:t>plus rapides</w:t>
            </w:r>
            <w:r w:rsidRPr="007069DF">
              <w:t xml:space="preserve"> que les algorithmes </w:t>
            </w:r>
            <w:proofErr w:type="gramStart"/>
            <w:r w:rsidRPr="007069DF">
              <w:t>traditionnels .</w:t>
            </w:r>
            <w:proofErr w:type="gramEnd"/>
            <w:r w:rsidRPr="007069DF">
              <w:t>  </w:t>
            </w:r>
          </w:p>
          <w:p w14:paraId="163E8226" w14:textId="77777777" w:rsidR="008E7106" w:rsidRDefault="008E7106" w:rsidP="001645E9"/>
        </w:tc>
      </w:tr>
      <w:tr w:rsidR="009B5A8E" w14:paraId="6D316C39" w14:textId="77777777" w:rsidTr="3C73DAAD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B9DA2A5" w14:textId="77777777" w:rsidR="009B5A8E" w:rsidRDefault="009B5A8E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638415B" w14:textId="77777777" w:rsidR="009B5A8E" w:rsidRDefault="009B5A8E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1D69932" w14:textId="77777777" w:rsidR="009B5A8E" w:rsidRDefault="009B5A8E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C670EBE" w14:textId="77777777" w:rsidR="009B5A8E" w:rsidRDefault="009B5A8E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9B5A8E" w14:paraId="62EBF3C5" w14:textId="77777777" w:rsidTr="00BE78B8">
        <w:trPr>
          <w:trHeight w:val="2262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6D98A12B" w14:textId="77777777" w:rsidR="009B5A8E" w:rsidRDefault="009B5A8E" w:rsidP="001645E9">
            <w:pPr>
              <w:jc w:val="center"/>
            </w:pPr>
          </w:p>
        </w:tc>
        <w:tc>
          <w:tcPr>
            <w:tcW w:w="3577" w:type="dxa"/>
            <w:tcBorders>
              <w:top w:val="thinThickSmallGap" w:sz="24" w:space="0" w:color="auto"/>
            </w:tcBorders>
          </w:tcPr>
          <w:p w14:paraId="2946DB82" w14:textId="77777777" w:rsidR="009B5A8E" w:rsidRDefault="009B5A8E" w:rsidP="001645E9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thinThickSmallGap" w:sz="24" w:space="0" w:color="auto"/>
            </w:tcBorders>
          </w:tcPr>
          <w:p w14:paraId="5997CC1D" w14:textId="77777777" w:rsidR="009B5A8E" w:rsidRDefault="009B5A8E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110FFD37" w14:textId="77777777" w:rsidR="009B5A8E" w:rsidRDefault="009B5A8E" w:rsidP="001645E9">
            <w:pPr>
              <w:jc w:val="center"/>
            </w:pPr>
          </w:p>
        </w:tc>
      </w:tr>
    </w:tbl>
    <w:p w14:paraId="08CE6F91" w14:textId="7B5E5FCE" w:rsidR="009B5A8E" w:rsidRDefault="009B5A8E" w:rsidP="009B5A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8"/>
        <w:gridCol w:w="597"/>
        <w:gridCol w:w="2980"/>
        <w:gridCol w:w="3578"/>
      </w:tblGrid>
      <w:tr w:rsidR="009B5A8E" w14:paraId="3665C047" w14:textId="77777777" w:rsidTr="3C73DAAD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CAC1806" w14:textId="2B8AB2B4" w:rsidR="00BC6CFF" w:rsidRPr="00BC6CFF" w:rsidRDefault="00BC6CFF" w:rsidP="00BC6CF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C6CFF">
              <w:rPr>
                <w:b/>
              </w:rPr>
              <w:t xml:space="preserve">Relation d’égalité entre les expressions numériques (sens du symbole </w:t>
            </w:r>
            <w:proofErr w:type="gramStart"/>
            <w:r w:rsidRPr="00BC6CFF">
              <w:rPr>
                <w:b/>
              </w:rPr>
              <w:t>= )</w:t>
            </w:r>
            <w:proofErr w:type="gramEnd"/>
          </w:p>
          <w:p w14:paraId="61CDCEAD" w14:textId="77777777" w:rsidR="009B5A8E" w:rsidRDefault="009B5A8E" w:rsidP="001645E9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67B7749A" wp14:editId="1A4CE613">
                  <wp:extent cx="4737781" cy="281305"/>
                  <wp:effectExtent l="0" t="0" r="571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781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B467D5" w14:textId="77777777" w:rsidR="009B5A8E" w:rsidRDefault="009B5A8E" w:rsidP="001645E9">
            <w:r>
              <w:t>PDA amendée : p. 21</w:t>
            </w:r>
          </w:p>
          <w:p w14:paraId="1927C526" w14:textId="77777777" w:rsidR="009B5A8E" w:rsidRDefault="009B5A8E" w:rsidP="001645E9">
            <w:r>
              <w:t>Sens du symbole d’égalité : = (N’est pas un donneur de réponse.)</w:t>
            </w:r>
          </w:p>
          <w:p w14:paraId="71BC50D1" w14:textId="77777777" w:rsidR="009B5A8E" w:rsidRDefault="009B5A8E" w:rsidP="001645E9"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 xml:space="preserve"> T1 : p. 320  </w:t>
            </w:r>
          </w:p>
          <w:p w14:paraId="520FADDB" w14:textId="77777777" w:rsidR="009B5A8E" w:rsidRDefault="009B5A8E" w:rsidP="001645E9">
            <w:r w:rsidRPr="005B0269">
              <w:rPr>
                <w:u w:val="single"/>
              </w:rPr>
              <w:t>AMI </w:t>
            </w:r>
            <w:r>
              <w:t>: Balance</w:t>
            </w:r>
          </w:p>
        </w:tc>
      </w:tr>
      <w:tr w:rsidR="009B5A8E" w14:paraId="61598396" w14:textId="77777777" w:rsidTr="3C73DAAD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3FD6D57" w14:textId="77777777" w:rsidR="009B5A8E" w:rsidRDefault="009B5A8E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45878EC" w14:textId="77777777" w:rsidR="009B5A8E" w:rsidRDefault="009B5A8E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69BE87E" w14:textId="77777777" w:rsidR="009B5A8E" w:rsidRDefault="009B5A8E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BC5E461" w14:textId="77777777" w:rsidR="009B5A8E" w:rsidRDefault="009B5A8E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9B5A8E" w14:paraId="6BB9E253" w14:textId="77777777" w:rsidTr="3C73DAAD">
        <w:trPr>
          <w:trHeight w:val="1498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23DE523C" w14:textId="77777777" w:rsidR="009B5A8E" w:rsidRDefault="009B5A8E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52E56223" w14:textId="77777777" w:rsidR="009B5A8E" w:rsidRDefault="009B5A8E" w:rsidP="001645E9">
            <w:pPr>
              <w:jc w:val="center"/>
            </w:pPr>
          </w:p>
        </w:tc>
        <w:tc>
          <w:tcPr>
            <w:tcW w:w="3577" w:type="dxa"/>
            <w:gridSpan w:val="2"/>
            <w:tcBorders>
              <w:top w:val="thinThickSmallGap" w:sz="24" w:space="0" w:color="auto"/>
            </w:tcBorders>
          </w:tcPr>
          <w:p w14:paraId="07547A01" w14:textId="77777777" w:rsidR="009B5A8E" w:rsidRDefault="009B5A8E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5043CB0F" w14:textId="77777777" w:rsidR="009B5A8E" w:rsidRDefault="009B5A8E" w:rsidP="001645E9">
            <w:pPr>
              <w:jc w:val="center"/>
            </w:pPr>
          </w:p>
        </w:tc>
      </w:tr>
    </w:tbl>
    <w:p w14:paraId="07459315" w14:textId="77777777" w:rsidR="009B5A8E" w:rsidRDefault="009B5A8E" w:rsidP="009B5A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8"/>
        <w:gridCol w:w="597"/>
        <w:gridCol w:w="2980"/>
        <w:gridCol w:w="3578"/>
      </w:tblGrid>
      <w:tr w:rsidR="00B120FE" w14:paraId="0B3B6A00" w14:textId="77777777" w:rsidTr="000A7C2D">
        <w:trPr>
          <w:trHeight w:val="1866"/>
        </w:trPr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8D3678B" w14:textId="0C79B4F5" w:rsidR="007069DF" w:rsidRPr="007069DF" w:rsidRDefault="007069DF" w:rsidP="007069D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7069DF">
              <w:rPr>
                <w:b/>
              </w:rPr>
              <w:lastRenderedPageBreak/>
              <w:t>Déterminer un terme manquant (</w:t>
            </w:r>
            <w:r>
              <w:t>(1</w:t>
            </w:r>
            <w:r w:rsidRPr="007069DF">
              <w:rPr>
                <w:vertAlign w:val="superscript"/>
              </w:rPr>
              <w:t>re</w:t>
            </w:r>
            <w:r>
              <w:t xml:space="preserve"> à 2</w:t>
            </w:r>
            <w:r w:rsidRPr="007069DF">
              <w:rPr>
                <w:vertAlign w:val="superscript"/>
              </w:rPr>
              <w:t>e</w:t>
            </w:r>
            <w:r>
              <w:t xml:space="preserve"> année : addition, soustraction. 3</w:t>
            </w:r>
            <w:r w:rsidRPr="007069DF">
              <w:rPr>
                <w:vertAlign w:val="superscript"/>
              </w:rPr>
              <w:t>e</w:t>
            </w:r>
            <w:r>
              <w:t xml:space="preserve"> à 6</w:t>
            </w:r>
            <w:r w:rsidRPr="007069DF">
              <w:rPr>
                <w:vertAlign w:val="superscript"/>
              </w:rPr>
              <w:t>e</w:t>
            </w:r>
            <w:r>
              <w:t xml:space="preserve"> année : multiplication, division)</w:t>
            </w:r>
          </w:p>
          <w:p w14:paraId="6537F28F" w14:textId="77777777" w:rsidR="006D706D" w:rsidRDefault="00B120FE" w:rsidP="00043564">
            <w:r>
              <w:rPr>
                <w:noProof/>
                <w:lang w:eastAsia="fr-CA"/>
              </w:rPr>
              <w:drawing>
                <wp:inline distT="0" distB="0" distL="0" distR="0" wp14:anchorId="575C4C55" wp14:editId="15331E0C">
                  <wp:extent cx="4743450" cy="28954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28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6C9E24" w14:textId="4FEE8684" w:rsidR="006D706D" w:rsidRDefault="000A7C2D" w:rsidP="001645E9">
            <w:r>
              <w:t>PDA amendée</w:t>
            </w:r>
            <w:r w:rsidR="00B120FE">
              <w:t>:</w:t>
            </w:r>
            <w:r>
              <w:t xml:space="preserve"> </w:t>
            </w:r>
            <w:r w:rsidR="00043564">
              <w:t>p.</w:t>
            </w:r>
            <w:r w:rsidR="00B120FE">
              <w:t xml:space="preserve"> 21 et 36</w:t>
            </w:r>
          </w:p>
          <w:p w14:paraId="7E0929C1" w14:textId="08BE0454" w:rsidR="00043564" w:rsidRDefault="00043564" w:rsidP="001645E9">
            <w:r>
              <w:t>Liens à faire avec les structures additives de t</w:t>
            </w:r>
            <w:r w:rsidR="007069DF">
              <w:t xml:space="preserve">ransformation : état </w:t>
            </w:r>
            <w:proofErr w:type="gramStart"/>
            <w:r w:rsidR="007069DF">
              <w:t xml:space="preserve">initiale, </w:t>
            </w:r>
            <w:r>
              <w:t xml:space="preserve"> transformation</w:t>
            </w:r>
            <w:proofErr w:type="gramEnd"/>
            <w:r>
              <w:t xml:space="preserve"> et </w:t>
            </w:r>
            <w:r w:rsidR="007069DF">
              <w:t xml:space="preserve">état </w:t>
            </w:r>
            <w:r>
              <w:t>final. p. 20</w:t>
            </w:r>
          </w:p>
          <w:p w14:paraId="7CB8D032" w14:textId="506B02D3" w:rsidR="005A1A8F" w:rsidRDefault="005A1A8F" w:rsidP="001645E9"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0D607346" wp14:editId="250AF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609850" cy="600075"/>
                  <wp:effectExtent l="0" t="0" r="0" b="9525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16"/>
                          <a:stretch/>
                        </pic:blipFill>
                        <pic:spPr bwMode="auto">
                          <a:xfrm>
                            <a:off x="0" y="0"/>
                            <a:ext cx="26098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432 - 217 = ?</w:t>
            </w:r>
          </w:p>
          <w:p w14:paraId="50409DC5" w14:textId="71D5C00B" w:rsidR="005A1A8F" w:rsidRDefault="005A1A8F" w:rsidP="001645E9">
            <w:r>
              <w:t>432 - ? = 217</w:t>
            </w:r>
          </w:p>
          <w:p w14:paraId="30355BC9" w14:textId="22F19C70" w:rsidR="005A1A8F" w:rsidRDefault="005A1A8F" w:rsidP="001645E9">
            <w:r>
              <w:t>217 + ? = 432</w:t>
            </w:r>
          </w:p>
          <w:p w14:paraId="6DFB9E20" w14:textId="42AF42C2" w:rsidR="00B120FE" w:rsidRDefault="00B120FE" w:rsidP="001645E9"/>
        </w:tc>
      </w:tr>
      <w:tr w:rsidR="00043564" w14:paraId="5BF88379" w14:textId="77777777" w:rsidTr="3C73DAAD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0DF9E56" w14:textId="77777777" w:rsidR="00043564" w:rsidRDefault="00043564" w:rsidP="00043564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7DFFFB0" wp14:editId="1870DAF2">
                  <wp:extent cx="4743450" cy="32512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32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A19AD7" w14:textId="77777777" w:rsidR="00043564" w:rsidRDefault="00043564" w:rsidP="00043564">
            <w:r>
              <w:t>PDA amendée : p. 21 et 36</w:t>
            </w:r>
          </w:p>
          <w:p w14:paraId="44E871BC" w14:textId="77777777" w:rsidR="00043564" w:rsidRDefault="00043564" w:rsidP="001645E9"/>
        </w:tc>
      </w:tr>
      <w:tr w:rsidR="00043564" w14:paraId="2813D6E7" w14:textId="77777777" w:rsidTr="3C73DAAD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04107E3" w14:textId="77777777" w:rsidR="006D706D" w:rsidRDefault="006D706D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8C43363" w14:textId="77777777" w:rsidR="006D706D" w:rsidRDefault="006D706D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E00BC39" w14:textId="77777777" w:rsidR="006D706D" w:rsidRDefault="006D706D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EF253AB" w14:textId="77777777" w:rsidR="006D706D" w:rsidRDefault="006D706D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7E0E4A" w14:paraId="144A5D23" w14:textId="77777777" w:rsidTr="00BE78B8">
        <w:trPr>
          <w:trHeight w:val="1206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738610EB" w14:textId="77777777" w:rsidR="007E0E4A" w:rsidRDefault="007E0E4A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637805D2" w14:textId="77777777" w:rsidR="007E0E4A" w:rsidRDefault="007E0E4A" w:rsidP="001645E9">
            <w:pPr>
              <w:jc w:val="center"/>
            </w:pPr>
          </w:p>
        </w:tc>
        <w:tc>
          <w:tcPr>
            <w:tcW w:w="3577" w:type="dxa"/>
            <w:gridSpan w:val="2"/>
            <w:tcBorders>
              <w:top w:val="thinThickSmallGap" w:sz="24" w:space="0" w:color="auto"/>
            </w:tcBorders>
          </w:tcPr>
          <w:p w14:paraId="463F29E8" w14:textId="77777777" w:rsidR="007E0E4A" w:rsidRDefault="007E0E4A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3B7B4B86" w14:textId="77777777" w:rsidR="007E0E4A" w:rsidRDefault="007E0E4A" w:rsidP="001645E9">
            <w:pPr>
              <w:jc w:val="center"/>
            </w:pPr>
          </w:p>
        </w:tc>
      </w:tr>
    </w:tbl>
    <w:p w14:paraId="3A0FF5F2" w14:textId="77777777" w:rsidR="006D706D" w:rsidRDefault="006D706D" w:rsidP="00BB3DD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8"/>
        <w:gridCol w:w="597"/>
        <w:gridCol w:w="2980"/>
        <w:gridCol w:w="3578"/>
      </w:tblGrid>
      <w:tr w:rsidR="000A7C2D" w14:paraId="13132213" w14:textId="77777777" w:rsidTr="001645E9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8D2A2BF" w14:textId="77777777" w:rsidR="00BE78B8" w:rsidRPr="00BE78B8" w:rsidRDefault="000A7C2D" w:rsidP="00BE78B8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Utilisation des nombres pour représenter un pourcentage : </w:t>
            </w:r>
          </w:p>
          <w:p w14:paraId="212DB75E" w14:textId="6A9DF526" w:rsidR="000A7C2D" w:rsidRPr="00BE78B8" w:rsidRDefault="000A7C2D" w:rsidP="00BE78B8">
            <w:pPr>
              <w:pStyle w:val="Paragraphedeliste"/>
              <w:rPr>
                <w:rFonts w:eastAsiaTheme="minorEastAsia"/>
              </w:rPr>
            </w:pPr>
            <w:r>
              <w:t xml:space="preserve">50% = 0,5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BE78B8">
              <w:rPr>
                <w:rFonts w:eastAsiaTheme="minorEastAsia"/>
                <w:b/>
              </w:rPr>
              <w:t xml:space="preserve">= moitié, </w:t>
            </w:r>
            <w:r w:rsidRPr="00BE78B8">
              <w:rPr>
                <w:rFonts w:eastAsiaTheme="minorEastAsia"/>
              </w:rPr>
              <w:t>associer et interpréter un diagramme circulaire</w:t>
            </w:r>
          </w:p>
          <w:p w14:paraId="07CC686F" w14:textId="0C573382" w:rsidR="000A7C2D" w:rsidRPr="000A7C2D" w:rsidRDefault="000A7C2D" w:rsidP="000A7C2D">
            <w:pPr>
              <w:rPr>
                <w:rFonts w:eastAsiaTheme="minorEastAsi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85FAE83" wp14:editId="64D098F1">
                  <wp:extent cx="4460740" cy="11049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950" cy="110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104AF" w14:textId="04E4F863" w:rsidR="000A7C2D" w:rsidRDefault="000A7C2D" w:rsidP="000A7C2D"/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F7AC3D" w14:textId="61A83CD3" w:rsidR="000A7C2D" w:rsidRDefault="000A7C2D" w:rsidP="000A7C2D">
            <w:r>
              <w:t xml:space="preserve">PDA amendée: p. 11 Associer :  j’ai les deux nombres à associer.  </w:t>
            </w:r>
          </w:p>
          <w:p w14:paraId="3ADBF78A" w14:textId="77777777" w:rsidR="000A7C2D" w:rsidRDefault="000A7C2D" w:rsidP="000A7C2D">
            <w:pPr>
              <w:rPr>
                <w:rFonts w:eastAsiaTheme="minorEastAsia"/>
                <w:b/>
              </w:rPr>
            </w:pPr>
            <w:r>
              <w:t xml:space="preserve">PDA amendée: p. 40 Exprimer : je transforme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=  </m:t>
              </m:r>
            </m:oMath>
            <w:r>
              <w:rPr>
                <w:rFonts w:eastAsiaTheme="minorEastAsia"/>
                <w:b/>
              </w:rPr>
              <w:t>75% = 0,75</w:t>
            </w:r>
          </w:p>
          <w:p w14:paraId="686558F8" w14:textId="73A8A250" w:rsidR="000A7C2D" w:rsidRPr="000A7C2D" w:rsidRDefault="000A7C2D" w:rsidP="0072365B">
            <w:r w:rsidRPr="000A7C2D">
              <w:rPr>
                <w:rFonts w:eastAsiaTheme="minorEastAsia"/>
              </w:rPr>
              <w:t xml:space="preserve">Diagramme circulaire : </w:t>
            </w:r>
            <w:r>
              <w:rPr>
                <w:rFonts w:eastAsiaTheme="minorEastAsia"/>
              </w:rPr>
              <w:t>rechercher une valeur d’un secteur circulaire manquant</w:t>
            </w:r>
            <w:r w:rsidR="0072365B">
              <w:rPr>
                <w:rFonts w:eastAsiaTheme="minorEastAsia"/>
              </w:rPr>
              <w:t xml:space="preserve"> en </w:t>
            </w:r>
            <w:r>
              <w:rPr>
                <w:rFonts w:eastAsiaTheme="minorEastAsia"/>
              </w:rPr>
              <w:t xml:space="preserve"> </w:t>
            </w:r>
            <w:r w:rsidR="0072365B">
              <w:rPr>
                <w:rFonts w:eastAsiaTheme="minorEastAsia"/>
              </w:rPr>
              <w:t>pourcentage , en nombre décimal ou en fraction</w:t>
            </w:r>
          </w:p>
        </w:tc>
      </w:tr>
      <w:tr w:rsidR="000A7C2D" w14:paraId="55B7BCA5" w14:textId="77777777" w:rsidTr="001645E9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00EEFAB" w14:textId="77777777" w:rsidR="000A7C2D" w:rsidRDefault="000A7C2D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80D58E0" w14:textId="77777777" w:rsidR="000A7C2D" w:rsidRDefault="000A7C2D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175679" w14:textId="77777777" w:rsidR="000A7C2D" w:rsidRDefault="000A7C2D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15D5CA3" w14:textId="77777777" w:rsidR="000A7C2D" w:rsidRDefault="000A7C2D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0A7C2D" w14:paraId="149074FE" w14:textId="77777777" w:rsidTr="001645E9">
        <w:trPr>
          <w:trHeight w:val="1338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04CCE135" w14:textId="77777777" w:rsidR="000A7C2D" w:rsidRDefault="000A7C2D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42E86ADF" w14:textId="5F19A5B6" w:rsidR="000A7C2D" w:rsidRDefault="000A7C2D" w:rsidP="001645E9"/>
        </w:tc>
        <w:tc>
          <w:tcPr>
            <w:tcW w:w="3577" w:type="dxa"/>
            <w:gridSpan w:val="2"/>
            <w:tcBorders>
              <w:top w:val="thinThickSmallGap" w:sz="24" w:space="0" w:color="auto"/>
            </w:tcBorders>
          </w:tcPr>
          <w:p w14:paraId="6958C4D3" w14:textId="77777777" w:rsidR="000A7C2D" w:rsidRDefault="000A7C2D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0D83CE5D" w14:textId="77777777" w:rsidR="000A7C2D" w:rsidRDefault="000A7C2D" w:rsidP="001645E9">
            <w:pPr>
              <w:jc w:val="center"/>
            </w:pPr>
          </w:p>
        </w:tc>
      </w:tr>
    </w:tbl>
    <w:p w14:paraId="5630AD66" w14:textId="57A023FE" w:rsidR="006D706D" w:rsidRDefault="006D706D" w:rsidP="00BB3DD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8"/>
        <w:gridCol w:w="597"/>
        <w:gridCol w:w="2980"/>
        <w:gridCol w:w="3578"/>
      </w:tblGrid>
      <w:tr w:rsidR="0072365B" w14:paraId="1D4F3E3A" w14:textId="77777777" w:rsidTr="001645E9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6ABD8A5" w14:textId="21793A59" w:rsidR="0072365B" w:rsidRPr="00DE4340" w:rsidRDefault="0072365B" w:rsidP="00BE78B8">
            <w:pPr>
              <w:pStyle w:val="Paragraphedeliste"/>
              <w:numPr>
                <w:ilvl w:val="0"/>
                <w:numId w:val="5"/>
              </w:numPr>
            </w:pPr>
            <w:r>
              <w:t>Décomposer un nombre en facteurs premiers</w:t>
            </w:r>
          </w:p>
          <w:p w14:paraId="57A67928" w14:textId="77777777" w:rsidR="0072365B" w:rsidRDefault="0072365B" w:rsidP="001645E9">
            <w:r>
              <w:rPr>
                <w:noProof/>
                <w:lang w:eastAsia="fr-CA"/>
              </w:rPr>
              <w:drawing>
                <wp:inline distT="0" distB="0" distL="0" distR="0" wp14:anchorId="3C3B950F" wp14:editId="54D228D4">
                  <wp:extent cx="4695824" cy="291859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4" cy="29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82C91A" w14:textId="77777777" w:rsidR="0072365B" w:rsidRDefault="0072365B" w:rsidP="001645E9">
            <w:r>
              <w:t>PDA amendée : p. 36</w:t>
            </w:r>
          </w:p>
          <w:p w14:paraId="3C69AE8E" w14:textId="77777777" w:rsidR="0072365B" w:rsidRDefault="0072365B" w:rsidP="001645E9">
            <w:r>
              <w:t>Nombres premiers : Crible d’Ératosthène</w:t>
            </w:r>
          </w:p>
          <w:p w14:paraId="3D5A5BB2" w14:textId="66043E95" w:rsidR="0072365B" w:rsidRDefault="0072365B" w:rsidP="001645E9">
            <w:r>
              <w:t>Utilité flexibilité : 6 x 7 = 2 x 3 x 7 = 2 x 21 = 42</w:t>
            </w:r>
          </w:p>
          <w:p w14:paraId="4BE1CF04" w14:textId="4EE89AFF" w:rsidR="0072365B" w:rsidRDefault="001645E9" w:rsidP="001645E9">
            <w:r>
              <w:lastRenderedPageBreak/>
              <w:t>Utilité pour déterminer la d</w:t>
            </w:r>
            <w:r w:rsidR="0072365B">
              <w:t>ivisibilité :</w:t>
            </w:r>
            <w:r>
              <w:t xml:space="preserve"> 75 = 3 x 5 x 5 d</w:t>
            </w:r>
            <w:r w:rsidR="0072365B">
              <w:t>onc les diviseurs sont :</w:t>
            </w:r>
            <w:r>
              <w:t xml:space="preserve"> 3,5,15,25 auxquels on ajoute 1 et </w:t>
            </w:r>
            <w:r w:rsidR="0072365B">
              <w:t>75</w:t>
            </w:r>
          </w:p>
          <w:p w14:paraId="4E7C9AE6" w14:textId="77777777" w:rsidR="0072365B" w:rsidRDefault="0072365B" w:rsidP="001645E9">
            <w:r>
              <w:t xml:space="preserve">Avec des cartes à jouer : </w:t>
            </w:r>
            <w:hyperlink r:id="rId36" w:history="1">
              <w:r w:rsidRPr="003F7B79">
                <w:rPr>
                  <w:rStyle w:val="Lienhypertexte"/>
                  <w:sz w:val="16"/>
                  <w:szCs w:val="16"/>
                </w:rPr>
                <w:t>https://www.youtube.com/watch?v=3iraDH3Q-gs</w:t>
              </w:r>
            </w:hyperlink>
            <w:r>
              <w:t xml:space="preserve"> </w:t>
            </w:r>
          </w:p>
        </w:tc>
      </w:tr>
      <w:tr w:rsidR="0072365B" w14:paraId="25517CF7" w14:textId="77777777" w:rsidTr="001645E9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412F44A" w14:textId="77777777" w:rsidR="0072365B" w:rsidRDefault="0072365B" w:rsidP="001645E9">
            <w:pPr>
              <w:jc w:val="center"/>
            </w:pPr>
            <w:proofErr w:type="spellStart"/>
            <w:r>
              <w:lastRenderedPageBreak/>
              <w:t>Présco</w:t>
            </w:r>
            <w:proofErr w:type="spellEnd"/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6327DB8" w14:textId="77777777" w:rsidR="0072365B" w:rsidRDefault="0072365B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A0DD695" w14:textId="77777777" w:rsidR="0072365B" w:rsidRDefault="0072365B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FEDEAB2" w14:textId="77777777" w:rsidR="0072365B" w:rsidRDefault="0072365B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72365B" w14:paraId="453FD0D7" w14:textId="77777777" w:rsidTr="001645E9">
        <w:trPr>
          <w:trHeight w:val="1338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4233E274" w14:textId="77777777" w:rsidR="0072365B" w:rsidRDefault="0072365B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5B8343FF" w14:textId="58187704" w:rsidR="0072365B" w:rsidRDefault="0072365B" w:rsidP="001645E9"/>
        </w:tc>
        <w:tc>
          <w:tcPr>
            <w:tcW w:w="3577" w:type="dxa"/>
            <w:gridSpan w:val="2"/>
            <w:tcBorders>
              <w:top w:val="thinThickSmallGap" w:sz="24" w:space="0" w:color="auto"/>
            </w:tcBorders>
          </w:tcPr>
          <w:p w14:paraId="55D46EE5" w14:textId="77777777" w:rsidR="0072365B" w:rsidRDefault="0072365B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51AF1830" w14:textId="77777777" w:rsidR="0072365B" w:rsidRDefault="0072365B" w:rsidP="001645E9">
            <w:pPr>
              <w:jc w:val="center"/>
            </w:pPr>
          </w:p>
        </w:tc>
      </w:tr>
    </w:tbl>
    <w:p w14:paraId="2BA226A1" w14:textId="3FC8745F" w:rsidR="00CF7B87" w:rsidRDefault="00CF7B87" w:rsidP="00BE78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8"/>
        <w:gridCol w:w="597"/>
        <w:gridCol w:w="2980"/>
        <w:gridCol w:w="3578"/>
      </w:tblGrid>
      <w:tr w:rsidR="00844449" w14:paraId="0F8AFDF0" w14:textId="77777777" w:rsidTr="001645E9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6BB7914" w14:textId="23E5EE51" w:rsidR="001645E9" w:rsidRDefault="001645E9" w:rsidP="00BE78B8">
            <w:pPr>
              <w:pStyle w:val="Paragraphedeliste"/>
              <w:numPr>
                <w:ilvl w:val="0"/>
                <w:numId w:val="5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Géométrie : classifier des figures planes ou déterminer des critères pour les classer</w:t>
            </w:r>
            <w:r w:rsidR="004133B4">
              <w:rPr>
                <w:noProof/>
                <w:lang w:eastAsia="fr-CA"/>
              </w:rPr>
              <w:t> :</w:t>
            </w:r>
          </w:p>
          <w:p w14:paraId="7F91B2B7" w14:textId="7B089654" w:rsidR="00844449" w:rsidRDefault="00844449" w:rsidP="00BE78B8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Quadrilatère</w:t>
            </w:r>
            <w:r w:rsidR="009B5A8E">
              <w:rPr>
                <w:noProof/>
                <w:lang w:eastAsia="fr-CA"/>
              </w:rPr>
              <w:t>s</w:t>
            </w:r>
            <w:r>
              <w:rPr>
                <w:noProof/>
                <w:lang w:eastAsia="fr-CA"/>
              </w:rPr>
              <w:t xml:space="preserve"> 2</w:t>
            </w:r>
            <w:r w:rsidRPr="00844449">
              <w:rPr>
                <w:noProof/>
                <w:vertAlign w:val="superscript"/>
                <w:lang w:eastAsia="fr-CA"/>
              </w:rPr>
              <w:t>e</w:t>
            </w:r>
            <w:r>
              <w:rPr>
                <w:noProof/>
                <w:lang w:eastAsia="fr-CA"/>
              </w:rPr>
              <w:t xml:space="preserve"> cycle</w:t>
            </w:r>
            <w:r w:rsidR="00BE78B8">
              <w:rPr>
                <w:noProof/>
                <w:lang w:eastAsia="fr-CA"/>
              </w:rPr>
              <w:t xml:space="preserve"> et t</w:t>
            </w:r>
            <w:r>
              <w:rPr>
                <w:noProof/>
                <w:lang w:eastAsia="fr-CA"/>
              </w:rPr>
              <w:t>riangle</w:t>
            </w:r>
            <w:r w:rsidR="009B5A8E">
              <w:rPr>
                <w:noProof/>
                <w:lang w:eastAsia="fr-CA"/>
              </w:rPr>
              <w:t>s</w:t>
            </w:r>
            <w:r>
              <w:rPr>
                <w:noProof/>
                <w:lang w:eastAsia="fr-CA"/>
              </w:rPr>
              <w:t xml:space="preserve"> 3</w:t>
            </w:r>
            <w:r w:rsidRPr="00BE78B8">
              <w:rPr>
                <w:noProof/>
                <w:vertAlign w:val="superscript"/>
                <w:lang w:eastAsia="fr-CA"/>
              </w:rPr>
              <w:t>e</w:t>
            </w:r>
            <w:r>
              <w:rPr>
                <w:noProof/>
                <w:lang w:eastAsia="fr-CA"/>
              </w:rPr>
              <w:t xml:space="preserve"> cycle</w:t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02BAE0" w14:textId="77777777" w:rsidR="00844449" w:rsidRDefault="00844449" w:rsidP="001645E9">
            <w:r>
              <w:t>PDA amendée :</w:t>
            </w:r>
            <w:r w:rsidR="009B5A8E">
              <w:t xml:space="preserve"> p. </w:t>
            </w:r>
            <w:proofErr w:type="gramStart"/>
            <w:r w:rsidR="009B5A8E">
              <w:t>56 ,</w:t>
            </w:r>
            <w:proofErr w:type="gramEnd"/>
            <w:r w:rsidR="009B5A8E">
              <w:t xml:space="preserve"> 57 et 60</w:t>
            </w:r>
          </w:p>
          <w:p w14:paraId="508C5D88" w14:textId="77777777" w:rsidR="00844449" w:rsidRDefault="00844449" w:rsidP="001645E9"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 xml:space="preserve"> T1 : p. </w:t>
            </w:r>
            <w:r w:rsidR="009B5A8E">
              <w:t>203, 213, 214</w:t>
            </w:r>
            <w:r>
              <w:t xml:space="preserve">   T2 : p.214</w:t>
            </w:r>
          </w:p>
          <w:p w14:paraId="17AD93B2" w14:textId="77777777" w:rsidR="00844449" w:rsidRDefault="00844449" w:rsidP="001645E9"/>
        </w:tc>
      </w:tr>
      <w:tr w:rsidR="00844449" w14:paraId="46E4359D" w14:textId="77777777" w:rsidTr="001645E9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4C8035D" w14:textId="77777777" w:rsidR="00844449" w:rsidRDefault="00844449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5EB6061" w14:textId="16A54C39" w:rsidR="00844449" w:rsidRDefault="00844449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F6DA3C5" w14:textId="77777777" w:rsidR="00844449" w:rsidRDefault="00844449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D35C059" w14:textId="77777777" w:rsidR="00844449" w:rsidRDefault="00844449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844449" w14:paraId="4B7F40F6" w14:textId="77777777" w:rsidTr="00BE78B8">
        <w:trPr>
          <w:trHeight w:val="1893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0DE4B5B7" w14:textId="77777777" w:rsidR="00844449" w:rsidRDefault="00844449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561D40BD" w14:textId="10AEC9D8" w:rsidR="00844449" w:rsidRDefault="00D356A1" w:rsidP="00D356A1">
            <w:r>
              <w:t>Tracer à main levée ou à l’aide de papier quadrillé, sans grande précision, pour travailler la représentation des figures.</w:t>
            </w:r>
          </w:p>
        </w:tc>
        <w:tc>
          <w:tcPr>
            <w:tcW w:w="3577" w:type="dxa"/>
            <w:gridSpan w:val="2"/>
            <w:tcBorders>
              <w:top w:val="thinThickSmallGap" w:sz="24" w:space="0" w:color="auto"/>
            </w:tcBorders>
          </w:tcPr>
          <w:p w14:paraId="66204FF1" w14:textId="16E70CDB" w:rsidR="00844449" w:rsidRDefault="00844449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2DBF0D7D" w14:textId="38E4F39E" w:rsidR="00844449" w:rsidRDefault="00BE78B8" w:rsidP="001645E9">
            <w:pPr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255F71AB" wp14:editId="604312A4">
                  <wp:simplePos x="0" y="0"/>
                  <wp:positionH relativeFrom="column">
                    <wp:posOffset>-825500</wp:posOffset>
                  </wp:positionH>
                  <wp:positionV relativeFrom="paragraph">
                    <wp:posOffset>-19685</wp:posOffset>
                  </wp:positionV>
                  <wp:extent cx="1533525" cy="1247234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4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E84ACF" w14:textId="250EF580" w:rsidR="004133B4" w:rsidRDefault="004133B4" w:rsidP="00526E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598"/>
        <w:gridCol w:w="2980"/>
        <w:gridCol w:w="3578"/>
      </w:tblGrid>
      <w:tr w:rsidR="00A565C0" w14:paraId="27A0D978" w14:textId="77777777" w:rsidTr="00BE78B8">
        <w:trPr>
          <w:trHeight w:val="2141"/>
        </w:trPr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381F72B8" w14:textId="35EF6B30" w:rsidR="004133B4" w:rsidRPr="004133B4" w:rsidRDefault="004133B4" w:rsidP="00BE78B8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4133B4">
              <w:rPr>
                <w:b/>
              </w:rPr>
              <w:t>Estimer et mesurer le temps (durée)</w:t>
            </w:r>
          </w:p>
          <w:p w14:paraId="02F2C34E" w14:textId="77777777" w:rsidR="007E0E4A" w:rsidRDefault="00A565C0" w:rsidP="001645E9">
            <w:r>
              <w:rPr>
                <w:noProof/>
                <w:lang w:eastAsia="fr-CA"/>
              </w:rPr>
              <w:drawing>
                <wp:inline distT="0" distB="0" distL="0" distR="0" wp14:anchorId="6C83AD7D" wp14:editId="7C136647">
                  <wp:extent cx="3771900" cy="1192078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806" cy="119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4C8DC6" w14:textId="07B8EE75" w:rsidR="007E0E4A" w:rsidRDefault="00A565C0" w:rsidP="001645E9">
            <w:r>
              <w:t xml:space="preserve">PDA amendée : p. 69 à 72 et </w:t>
            </w:r>
            <w:proofErr w:type="gramStart"/>
            <w:r>
              <w:t>77</w:t>
            </w:r>
            <w:r w:rsidR="00BE78B8">
              <w:t xml:space="preserve">  </w:t>
            </w:r>
            <w:r w:rsidR="00BE78B8" w:rsidRPr="004C2018">
              <w:rPr>
                <w:u w:val="single"/>
              </w:rPr>
              <w:t>AMI</w:t>
            </w:r>
            <w:proofErr w:type="gramEnd"/>
            <w:r w:rsidR="00BE78B8">
              <w:t> : horloge</w:t>
            </w:r>
          </w:p>
          <w:p w14:paraId="0D05428D" w14:textId="77777777" w:rsidR="00A565C0" w:rsidRDefault="00A565C0" w:rsidP="001645E9">
            <w:r>
              <w:t>Durée : PFEQ p. 138</w:t>
            </w:r>
          </w:p>
          <w:p w14:paraId="2336DD20" w14:textId="2B8A3AB1" w:rsidR="004C2018" w:rsidRDefault="004C2018" w:rsidP="001645E9">
            <w:r>
              <w:t xml:space="preserve">Privilégier </w:t>
            </w:r>
            <w:r w:rsidR="00BE78B8">
              <w:t>l’utilisation de l’axe de temps Prudence avec les additions en base 60.</w:t>
            </w:r>
          </w:p>
          <w:p w14:paraId="2466F13F" w14:textId="5E94EFE3" w:rsidR="00FA2774" w:rsidRDefault="00FA2774" w:rsidP="001645E9">
            <w:r>
              <w:rPr>
                <w:noProof/>
                <w:lang w:eastAsia="fr-CA"/>
              </w:rPr>
              <w:drawing>
                <wp:inline distT="0" distB="0" distL="0" distR="0" wp14:anchorId="12C3BE45" wp14:editId="427C8E1A">
                  <wp:extent cx="2124075" cy="623755"/>
                  <wp:effectExtent l="0" t="0" r="0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288" cy="67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2B4D5" w14:textId="1B86CF8B" w:rsidR="004C2018" w:rsidRDefault="004C2018" w:rsidP="001645E9"/>
        </w:tc>
      </w:tr>
      <w:tr w:rsidR="00FA2774" w14:paraId="6EEFBC33" w14:textId="77777777" w:rsidTr="3C73DAAD"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E2F87F0" w14:textId="77777777" w:rsidR="007E0E4A" w:rsidRDefault="007E0E4A" w:rsidP="001645E9">
            <w:pPr>
              <w:jc w:val="center"/>
            </w:pPr>
            <w:proofErr w:type="spellStart"/>
            <w:r>
              <w:t>Présco</w:t>
            </w:r>
            <w:proofErr w:type="spellEnd"/>
          </w:p>
        </w:tc>
        <w:tc>
          <w:tcPr>
            <w:tcW w:w="35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90C6AC1" w14:textId="77777777" w:rsidR="007E0E4A" w:rsidRDefault="007E0E4A" w:rsidP="001645E9">
            <w:pPr>
              <w:jc w:val="center"/>
            </w:pPr>
            <w:r>
              <w:t>1</w:t>
            </w:r>
            <w:r w:rsidRPr="00BB3DD6">
              <w:rPr>
                <w:vertAlign w:val="superscript"/>
              </w:rPr>
              <w:t>er</w:t>
            </w:r>
            <w:r>
              <w:t xml:space="preserve"> cycle</w:t>
            </w:r>
          </w:p>
        </w:tc>
        <w:tc>
          <w:tcPr>
            <w:tcW w:w="357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35E4D0F" w14:textId="77777777" w:rsidR="007E0E4A" w:rsidRDefault="007E0E4A" w:rsidP="001645E9">
            <w:pPr>
              <w:jc w:val="center"/>
            </w:pPr>
            <w:r>
              <w:t>2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A45A8B9" w14:textId="77777777" w:rsidR="007E0E4A" w:rsidRDefault="007E0E4A" w:rsidP="001645E9">
            <w:pPr>
              <w:jc w:val="center"/>
            </w:pPr>
            <w:r>
              <w:t>3</w:t>
            </w:r>
            <w:r w:rsidRPr="00BB3DD6">
              <w:rPr>
                <w:vertAlign w:val="superscript"/>
              </w:rPr>
              <w:t>e</w:t>
            </w:r>
            <w:r>
              <w:t xml:space="preserve"> cycle</w:t>
            </w:r>
          </w:p>
        </w:tc>
      </w:tr>
      <w:tr w:rsidR="00FA2774" w14:paraId="19219836" w14:textId="77777777" w:rsidTr="00BE78B8">
        <w:trPr>
          <w:trHeight w:val="910"/>
        </w:trPr>
        <w:tc>
          <w:tcPr>
            <w:tcW w:w="3577" w:type="dxa"/>
            <w:tcBorders>
              <w:top w:val="thinThickSmallGap" w:sz="24" w:space="0" w:color="auto"/>
            </w:tcBorders>
          </w:tcPr>
          <w:p w14:paraId="296FEF7D" w14:textId="77777777" w:rsidR="007E0E4A" w:rsidRDefault="007E0E4A" w:rsidP="001645E9">
            <w:pPr>
              <w:jc w:val="center"/>
            </w:pPr>
          </w:p>
        </w:tc>
        <w:tc>
          <w:tcPr>
            <w:tcW w:w="3577" w:type="dxa"/>
            <w:tcBorders>
              <w:top w:val="thinThickSmallGap" w:sz="24" w:space="0" w:color="auto"/>
            </w:tcBorders>
          </w:tcPr>
          <w:p w14:paraId="7194DBDC" w14:textId="77777777" w:rsidR="007E0E4A" w:rsidRDefault="007E0E4A" w:rsidP="001645E9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thinThickSmallGap" w:sz="24" w:space="0" w:color="auto"/>
            </w:tcBorders>
          </w:tcPr>
          <w:p w14:paraId="769D0D3C" w14:textId="77777777" w:rsidR="007E0E4A" w:rsidRDefault="007E0E4A" w:rsidP="001645E9">
            <w:pPr>
              <w:jc w:val="center"/>
            </w:pPr>
          </w:p>
        </w:tc>
        <w:tc>
          <w:tcPr>
            <w:tcW w:w="3578" w:type="dxa"/>
            <w:tcBorders>
              <w:top w:val="thinThickSmallGap" w:sz="24" w:space="0" w:color="auto"/>
            </w:tcBorders>
          </w:tcPr>
          <w:p w14:paraId="54CD245A" w14:textId="77777777" w:rsidR="007E0E4A" w:rsidRDefault="007E0E4A" w:rsidP="001645E9">
            <w:pPr>
              <w:jc w:val="center"/>
            </w:pPr>
          </w:p>
        </w:tc>
      </w:tr>
    </w:tbl>
    <w:p w14:paraId="6BD18F9B" w14:textId="7D07F50D" w:rsidR="00526ED3" w:rsidRDefault="00526ED3" w:rsidP="00BE78B8"/>
    <w:sectPr w:rsidR="00526ED3" w:rsidSect="00BE78B8">
      <w:pgSz w:w="15840" w:h="12240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2DB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C98"/>
    <w:multiLevelType w:val="multilevel"/>
    <w:tmpl w:val="523C4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C72B41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7B1"/>
    <w:multiLevelType w:val="multilevel"/>
    <w:tmpl w:val="6D7A6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873DB2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736B"/>
    <w:multiLevelType w:val="hybridMultilevel"/>
    <w:tmpl w:val="5F081606"/>
    <w:lvl w:ilvl="0" w:tplc="B4F00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4D4D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796F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02BA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4B67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436FA"/>
    <w:multiLevelType w:val="hybridMultilevel"/>
    <w:tmpl w:val="87DED8B4"/>
    <w:lvl w:ilvl="0" w:tplc="00784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A6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45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C0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F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28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E6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84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E5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43C4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F6021"/>
    <w:multiLevelType w:val="hybridMultilevel"/>
    <w:tmpl w:val="CA2239BC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92129"/>
    <w:multiLevelType w:val="hybridMultilevel"/>
    <w:tmpl w:val="B5B807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14EB9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15C49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B539E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842A2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F44BD"/>
    <w:multiLevelType w:val="hybridMultilevel"/>
    <w:tmpl w:val="E5081082"/>
    <w:lvl w:ilvl="0" w:tplc="9E5E20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17DF9"/>
    <w:multiLevelType w:val="hybridMultilevel"/>
    <w:tmpl w:val="97D8DC26"/>
    <w:lvl w:ilvl="0" w:tplc="2B1C607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3"/>
  </w:num>
  <w:num w:numId="5">
    <w:abstractNumId w:val="16"/>
  </w:num>
  <w:num w:numId="6">
    <w:abstractNumId w:val="5"/>
  </w:num>
  <w:num w:numId="7">
    <w:abstractNumId w:val="7"/>
  </w:num>
  <w:num w:numId="8">
    <w:abstractNumId w:val="4"/>
  </w:num>
  <w:num w:numId="9">
    <w:abstractNumId w:val="17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  <w:num w:numId="16">
    <w:abstractNumId w:val="9"/>
  </w:num>
  <w:num w:numId="17">
    <w:abstractNumId w:val="18"/>
  </w:num>
  <w:num w:numId="18">
    <w:abstractNumId w:val="1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6"/>
    <w:rsid w:val="00043564"/>
    <w:rsid w:val="0004E192"/>
    <w:rsid w:val="000A7C2D"/>
    <w:rsid w:val="001645E9"/>
    <w:rsid w:val="00170CAF"/>
    <w:rsid w:val="001C2655"/>
    <w:rsid w:val="00305D1B"/>
    <w:rsid w:val="0032166D"/>
    <w:rsid w:val="00380B69"/>
    <w:rsid w:val="0038459F"/>
    <w:rsid w:val="003A1013"/>
    <w:rsid w:val="003F7B79"/>
    <w:rsid w:val="004133B4"/>
    <w:rsid w:val="004B0921"/>
    <w:rsid w:val="004C2018"/>
    <w:rsid w:val="004F28BD"/>
    <w:rsid w:val="00515571"/>
    <w:rsid w:val="00524C3F"/>
    <w:rsid w:val="00526ED3"/>
    <w:rsid w:val="005701BA"/>
    <w:rsid w:val="005A1A8F"/>
    <w:rsid w:val="005A404A"/>
    <w:rsid w:val="005B0269"/>
    <w:rsid w:val="005C6884"/>
    <w:rsid w:val="00602CD7"/>
    <w:rsid w:val="00633302"/>
    <w:rsid w:val="00670343"/>
    <w:rsid w:val="006D706D"/>
    <w:rsid w:val="007069DF"/>
    <w:rsid w:val="0072365B"/>
    <w:rsid w:val="00734E76"/>
    <w:rsid w:val="007C0BA9"/>
    <w:rsid w:val="007E0E4A"/>
    <w:rsid w:val="00802ABE"/>
    <w:rsid w:val="00844449"/>
    <w:rsid w:val="008E7106"/>
    <w:rsid w:val="0093201C"/>
    <w:rsid w:val="009B5A8E"/>
    <w:rsid w:val="00A3035C"/>
    <w:rsid w:val="00A54135"/>
    <w:rsid w:val="00A565C0"/>
    <w:rsid w:val="00AD68B6"/>
    <w:rsid w:val="00B120FE"/>
    <w:rsid w:val="00B74BB4"/>
    <w:rsid w:val="00BB3DD6"/>
    <w:rsid w:val="00BC6CFF"/>
    <w:rsid w:val="00BE202E"/>
    <w:rsid w:val="00BE7226"/>
    <w:rsid w:val="00BE78B8"/>
    <w:rsid w:val="00C6101B"/>
    <w:rsid w:val="00CF7B87"/>
    <w:rsid w:val="00D32E13"/>
    <w:rsid w:val="00D356A1"/>
    <w:rsid w:val="00DC3E3E"/>
    <w:rsid w:val="00DC44A7"/>
    <w:rsid w:val="00DE4340"/>
    <w:rsid w:val="00E3632C"/>
    <w:rsid w:val="00EE70C0"/>
    <w:rsid w:val="00F86A41"/>
    <w:rsid w:val="00FA2774"/>
    <w:rsid w:val="00FD7E23"/>
    <w:rsid w:val="01D7604F"/>
    <w:rsid w:val="037330B0"/>
    <w:rsid w:val="0460812B"/>
    <w:rsid w:val="0471EED3"/>
    <w:rsid w:val="056E2619"/>
    <w:rsid w:val="0674BA06"/>
    <w:rsid w:val="06C4DD65"/>
    <w:rsid w:val="07DE14FB"/>
    <w:rsid w:val="09FC7E27"/>
    <w:rsid w:val="0A0BAF3E"/>
    <w:rsid w:val="0B984E88"/>
    <w:rsid w:val="0C39822D"/>
    <w:rsid w:val="123B1437"/>
    <w:rsid w:val="1812FAD3"/>
    <w:rsid w:val="1B1D5430"/>
    <w:rsid w:val="2008249F"/>
    <w:rsid w:val="21A0DD82"/>
    <w:rsid w:val="233CADE3"/>
    <w:rsid w:val="24F120BF"/>
    <w:rsid w:val="276B2916"/>
    <w:rsid w:val="2AB93CA5"/>
    <w:rsid w:val="2B9D4B47"/>
    <w:rsid w:val="2C860855"/>
    <w:rsid w:val="2F69DF45"/>
    <w:rsid w:val="2FA407B1"/>
    <w:rsid w:val="2FE24612"/>
    <w:rsid w:val="3399E004"/>
    <w:rsid w:val="36936EA1"/>
    <w:rsid w:val="379CDCBA"/>
    <w:rsid w:val="3944BA5C"/>
    <w:rsid w:val="3A6BD757"/>
    <w:rsid w:val="3C73DAAD"/>
    <w:rsid w:val="3DB2560B"/>
    <w:rsid w:val="3F375BEF"/>
    <w:rsid w:val="42A040A5"/>
    <w:rsid w:val="43439C08"/>
    <w:rsid w:val="453A6A7E"/>
    <w:rsid w:val="486048A1"/>
    <w:rsid w:val="49416311"/>
    <w:rsid w:val="49563AD5"/>
    <w:rsid w:val="4D9886FB"/>
    <w:rsid w:val="543BC6F8"/>
    <w:rsid w:val="5525A34C"/>
    <w:rsid w:val="55E760DF"/>
    <w:rsid w:val="5849F6B1"/>
    <w:rsid w:val="5C319267"/>
    <w:rsid w:val="5DDA3274"/>
    <w:rsid w:val="5F76542B"/>
    <w:rsid w:val="626E3FC7"/>
    <w:rsid w:val="62B1676A"/>
    <w:rsid w:val="630B5850"/>
    <w:rsid w:val="63F1296F"/>
    <w:rsid w:val="64149DFD"/>
    <w:rsid w:val="6679FCB1"/>
    <w:rsid w:val="67CAFA79"/>
    <w:rsid w:val="691705DB"/>
    <w:rsid w:val="726BD179"/>
    <w:rsid w:val="7BC1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3913"/>
  <w15:chartTrackingRefBased/>
  <w15:docId w15:val="{EBD80173-DFE1-46B3-AD4C-8005C8A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68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68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4340"/>
    <w:rPr>
      <w:color w:val="808080"/>
    </w:rPr>
  </w:style>
  <w:style w:type="paragraph" w:customStyle="1" w:styleId="paragraph">
    <w:name w:val="paragraph"/>
    <w:basedOn w:val="Normal"/>
    <w:rsid w:val="008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8E7106"/>
  </w:style>
  <w:style w:type="character" w:customStyle="1" w:styleId="eop">
    <w:name w:val="eop"/>
    <w:basedOn w:val="Policepardfaut"/>
    <w:rsid w:val="008E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.csbe.qc.ca/mathprimaire/2019/12/11/subitisation-et-boulier-rekenrek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se.csbe.qc.ca/mathprimaire/2019/12/11/subitisation-et-boulier-rekenrek/" TargetMode="External"/><Relationship Id="rId39" Type="http://schemas.openxmlformats.org/officeDocument/2006/relationships/image" Target="media/image21.png"/><Relationship Id="rId21" Type="http://schemas.openxmlformats.org/officeDocument/2006/relationships/image" Target="media/image7.png"/><Relationship Id="rId34" Type="http://schemas.openxmlformats.org/officeDocument/2006/relationships/image" Target="media/image17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t-1w9GMhjU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.csbe.qc.ca/mathprimaire/2020/10/21/schema-synthese-pda-1er-cycle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hyperlink" Target="https://se.csbe.qc.ca/mathprimaire/2020/10/07/traces-et-flexibilite-aides-technologiques/" TargetMode="External"/><Relationship Id="rId36" Type="http://schemas.openxmlformats.org/officeDocument/2006/relationships/hyperlink" Target="https://www.youtube.com/watch?v=3iraDH3Q-gs" TargetMode="External"/><Relationship Id="rId10" Type="http://schemas.openxmlformats.org/officeDocument/2006/relationships/hyperlink" Target="https://csbe5.sharepoint.com/:b:/t/se/EZzwB9aSduhCk1ZZAIh8JmEBfxCRBCI3wQo5utOzVWS7Ww?e=pMyUo7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4.png"/><Relationship Id="rId4" Type="http://schemas.openxmlformats.org/officeDocument/2006/relationships/numbering" Target="numbering.xml"/><Relationship Id="rId9" Type="http://schemas.openxmlformats.org/officeDocument/2006/relationships/hyperlink" Target="https://se.csbe.qc.ca/mathprimaire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se.csbe.qc.ca/mathprimaire/2020/08/28/larmoire-math-interactive-web/" TargetMode="External"/><Relationship Id="rId17" Type="http://schemas.openxmlformats.org/officeDocument/2006/relationships/hyperlink" Target="https://www.youtube.com/watch?v=uOl-XlLsixU" TargetMode="External"/><Relationship Id="rId25" Type="http://schemas.openxmlformats.org/officeDocument/2006/relationships/hyperlink" Target="https://se.csbe.qc.ca/mathprimaire/2021/01/08/fluidite-et-calcul-mental/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181B64ED6CF4B995FC8D70259DACF" ma:contentTypeVersion="6" ma:contentTypeDescription="Crée un document." ma:contentTypeScope="" ma:versionID="cf790dd8f18c3ad2a7df59067e2ef2d9">
  <xsd:schema xmlns:xsd="http://www.w3.org/2001/XMLSchema" xmlns:xs="http://www.w3.org/2001/XMLSchema" xmlns:p="http://schemas.microsoft.com/office/2006/metadata/properties" xmlns:ns2="af0ba0d2-ddf9-458a-b6cc-0aa60b44d2b3" targetNamespace="http://schemas.microsoft.com/office/2006/metadata/properties" ma:root="true" ma:fieldsID="6205e82ea12e2ae00239d090845c12f1" ns2:_="">
    <xsd:import namespace="af0ba0d2-ddf9-458a-b6cc-0aa60b44d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ba0d2-ddf9-458a-b6cc-0aa60b44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3413F-8924-4F3F-B277-6E391D3BDEFF}">
  <ds:schemaRefs>
    <ds:schemaRef ds:uri="http://www.w3.org/XML/1998/namespace"/>
    <ds:schemaRef ds:uri="http://purl.org/dc/terms/"/>
    <ds:schemaRef ds:uri="af0ba0d2-ddf9-458a-b6cc-0aa60b44d2b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EE3480B-97CC-4CEA-B4B1-9B918FDA3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ba0d2-ddf9-458a-b6cc-0aa60b44d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56323-51A9-4F99-9C7E-63B039CC1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1641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Johanne</dc:creator>
  <cp:keywords/>
  <dc:description/>
  <cp:lastModifiedBy>Morin Johanne</cp:lastModifiedBy>
  <cp:revision>3</cp:revision>
  <dcterms:created xsi:type="dcterms:W3CDTF">2021-01-29T15:20:00Z</dcterms:created>
  <dcterms:modified xsi:type="dcterms:W3CDTF">2021-01-29T15:27:00Z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0x01010048F181B64ED6CF4B995FC8D70259DACF</vt:lpwstr>
  </property>
</Properties>
</file>