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597" w:rsidRPr="00C5742F" w:rsidRDefault="00F56597" w:rsidP="00F56597">
      <w:pPr>
        <w:jc w:val="center"/>
        <w:rPr>
          <w:rFonts w:ascii="Impact" w:hAnsi="Impact"/>
          <w:sz w:val="32"/>
          <w:szCs w:val="32"/>
        </w:rPr>
      </w:pPr>
      <w:r>
        <w:rPr>
          <w:rFonts w:ascii="Impact" w:hAnsi="Impact"/>
          <w:sz w:val="32"/>
          <w:szCs w:val="32"/>
        </w:rPr>
        <w:t>Matériel de manipulation</w:t>
      </w:r>
      <w:r w:rsidRPr="00C5742F">
        <w:rPr>
          <w:rFonts w:ascii="Impact" w:hAnsi="Impact"/>
          <w:sz w:val="32"/>
          <w:szCs w:val="32"/>
        </w:rPr>
        <w:t xml:space="preserve"> pour raisonner (comprendre ou exprimer) au 3</w:t>
      </w:r>
      <w:r w:rsidRPr="00C5742F">
        <w:rPr>
          <w:rFonts w:ascii="Impact" w:hAnsi="Impact"/>
          <w:sz w:val="32"/>
          <w:szCs w:val="32"/>
          <w:vertAlign w:val="superscript"/>
        </w:rPr>
        <w:t>e</w:t>
      </w:r>
      <w:r w:rsidRPr="00C5742F">
        <w:rPr>
          <w:rFonts w:ascii="Impact" w:hAnsi="Impact"/>
          <w:sz w:val="32"/>
          <w:szCs w:val="32"/>
        </w:rPr>
        <w:t xml:space="preserve"> cycle</w:t>
      </w:r>
    </w:p>
    <w:p w:rsidR="00F56597" w:rsidRDefault="00F56597" w:rsidP="00F56597">
      <w:pPr>
        <w:jc w:val="center"/>
      </w:pPr>
      <w:r w:rsidRPr="00C5742F">
        <w:rPr>
          <w:sz w:val="24"/>
          <w:szCs w:val="24"/>
        </w:rPr>
        <w:t xml:space="preserve">L’armoire math interactive Web donne accès à une version numérique </w:t>
      </w:r>
      <w:r>
        <w:rPr>
          <w:sz w:val="24"/>
          <w:szCs w:val="24"/>
        </w:rPr>
        <w:t>du matériel</w:t>
      </w:r>
      <w:r w:rsidRPr="00C5742F">
        <w:rPr>
          <w:sz w:val="24"/>
          <w:szCs w:val="24"/>
        </w:rPr>
        <w:t xml:space="preserve"> </w:t>
      </w:r>
      <w:hyperlink r:id="rId4" w:history="1">
        <w:r w:rsidRPr="00D15F97">
          <w:rPr>
            <w:rStyle w:val="Lienhypertexte"/>
          </w:rPr>
          <w:t>ICI.</w:t>
        </w:r>
      </w:hyperlink>
    </w:p>
    <w:p w:rsidR="00F56597" w:rsidRDefault="00F56597" w:rsidP="00F56597">
      <w:pPr>
        <w:jc w:val="center"/>
      </w:pPr>
    </w:p>
    <w:tbl>
      <w:tblPr>
        <w:tblStyle w:val="Grilledutableau"/>
        <w:tblW w:w="14175" w:type="dxa"/>
        <w:tblInd w:w="-572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F56597" w:rsidRPr="00C5742F" w:rsidTr="00F56597">
        <w:trPr>
          <w:trHeight w:val="567"/>
        </w:trPr>
        <w:tc>
          <w:tcPr>
            <w:tcW w:w="283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56597" w:rsidRPr="00C5742F" w:rsidRDefault="00F56597" w:rsidP="00F56597">
            <w:pPr>
              <w:jc w:val="center"/>
              <w:rPr>
                <w:b/>
              </w:rPr>
            </w:pPr>
            <w:r w:rsidRPr="00C5742F">
              <w:rPr>
                <w:b/>
              </w:rPr>
              <w:t xml:space="preserve">Jetons </w:t>
            </w:r>
            <w:proofErr w:type="gramStart"/>
            <w:r w:rsidRPr="00C5742F">
              <w:rPr>
                <w:b/>
              </w:rPr>
              <w:t>( bicolores</w:t>
            </w:r>
            <w:proofErr w:type="gramEnd"/>
            <w:r w:rsidRPr="00C5742F">
              <w:rPr>
                <w:b/>
              </w:rPr>
              <w:t>)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vAlign w:val="center"/>
          </w:tcPr>
          <w:p w:rsidR="00F56597" w:rsidRPr="00C5742F" w:rsidRDefault="00F56597" w:rsidP="00F56597">
            <w:pPr>
              <w:jc w:val="center"/>
              <w:rPr>
                <w:b/>
              </w:rPr>
            </w:pPr>
            <w:r w:rsidRPr="00C5742F">
              <w:rPr>
                <w:b/>
              </w:rPr>
              <w:t>Bouliers et abaques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vAlign w:val="center"/>
          </w:tcPr>
          <w:p w:rsidR="00F56597" w:rsidRPr="00C5742F" w:rsidRDefault="00F56597" w:rsidP="00F56597">
            <w:pPr>
              <w:jc w:val="center"/>
              <w:rPr>
                <w:b/>
              </w:rPr>
            </w:pPr>
            <w:r w:rsidRPr="00C5742F">
              <w:rPr>
                <w:b/>
              </w:rPr>
              <w:t>Blocs mosaïques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vAlign w:val="center"/>
          </w:tcPr>
          <w:p w:rsidR="00F56597" w:rsidRPr="00C5742F" w:rsidRDefault="00F56597" w:rsidP="00F56597">
            <w:pPr>
              <w:jc w:val="center"/>
              <w:rPr>
                <w:b/>
              </w:rPr>
            </w:pPr>
            <w:r w:rsidRPr="00C5742F">
              <w:rPr>
                <w:b/>
              </w:rPr>
              <w:t>Réglettes</w:t>
            </w:r>
          </w:p>
        </w:tc>
        <w:tc>
          <w:tcPr>
            <w:tcW w:w="28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56597" w:rsidRPr="00C5742F" w:rsidRDefault="00F56597" w:rsidP="00F56597">
            <w:pPr>
              <w:jc w:val="center"/>
              <w:rPr>
                <w:b/>
              </w:rPr>
            </w:pPr>
            <w:r w:rsidRPr="00C5742F">
              <w:rPr>
                <w:b/>
              </w:rPr>
              <w:t>Cubes emboîtables</w:t>
            </w:r>
          </w:p>
        </w:tc>
      </w:tr>
      <w:tr w:rsidR="00F56597" w:rsidTr="003B73AD">
        <w:tc>
          <w:tcPr>
            <w:tcW w:w="2835" w:type="dxa"/>
            <w:tcBorders>
              <w:left w:val="single" w:sz="18" w:space="0" w:color="auto"/>
              <w:bottom w:val="single" w:sz="18" w:space="0" w:color="auto"/>
            </w:tcBorders>
          </w:tcPr>
          <w:p w:rsidR="00F56597" w:rsidRDefault="00F56597" w:rsidP="003B73AD">
            <w:r>
              <w:rPr>
                <w:noProof/>
              </w:rPr>
              <w:drawing>
                <wp:inline distT="0" distB="0" distL="0" distR="0" wp14:anchorId="27EDCAFC" wp14:editId="6890FEC9">
                  <wp:extent cx="1609725" cy="993589"/>
                  <wp:effectExtent l="0" t="0" r="0" b="0"/>
                  <wp:docPr id="6" name="Image 6" descr="Jetons bicolores - Brault &amp;amp; Bouthil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tons bicolores - Brault &amp;amp; Bouthil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03" cy="101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597" w:rsidRPr="00A81AD0" w:rsidRDefault="00F56597" w:rsidP="003B73AD">
            <w:pPr>
              <w:rPr>
                <w:sz w:val="16"/>
                <w:szCs w:val="16"/>
              </w:rPr>
            </w:pPr>
            <w:r w:rsidRPr="00A81AD0">
              <w:rPr>
                <w:sz w:val="16"/>
                <w:szCs w:val="16"/>
              </w:rPr>
              <w:t>-Grouper et dégrouper</w:t>
            </w:r>
          </w:p>
          <w:p w:rsidR="00F56597" w:rsidRPr="00A81AD0" w:rsidRDefault="00F56597" w:rsidP="003B73AD">
            <w:pPr>
              <w:rPr>
                <w:sz w:val="16"/>
                <w:szCs w:val="16"/>
              </w:rPr>
            </w:pPr>
            <w:r w:rsidRPr="00A81AD0">
              <w:rPr>
                <w:sz w:val="16"/>
                <w:szCs w:val="16"/>
              </w:rPr>
              <w:t xml:space="preserve">-Travailler la fraction </w:t>
            </w:r>
            <w:r>
              <w:rPr>
                <w:sz w:val="16"/>
                <w:szCs w:val="16"/>
              </w:rPr>
              <w:t>(</w:t>
            </w:r>
            <w:r w:rsidRPr="00A81AD0">
              <w:rPr>
                <w:sz w:val="16"/>
                <w:szCs w:val="16"/>
              </w:rPr>
              <w:t>collection</w:t>
            </w:r>
            <w:r>
              <w:rPr>
                <w:sz w:val="16"/>
                <w:szCs w:val="16"/>
              </w:rPr>
              <w:t>)</w:t>
            </w:r>
          </w:p>
          <w:p w:rsidR="00F56597" w:rsidRPr="00A81AD0" w:rsidRDefault="00F56597" w:rsidP="003B73AD">
            <w:pPr>
              <w:rPr>
                <w:sz w:val="16"/>
                <w:szCs w:val="16"/>
              </w:rPr>
            </w:pPr>
            <w:r w:rsidRPr="00A81AD0">
              <w:rPr>
                <w:sz w:val="16"/>
                <w:szCs w:val="16"/>
              </w:rPr>
              <w:t>-Construire des fractions équivalentes</w:t>
            </w:r>
          </w:p>
          <w:p w:rsidR="00F56597" w:rsidRPr="00181CA2" w:rsidRDefault="00F56597" w:rsidP="003B73AD">
            <w:pPr>
              <w:rPr>
                <w:sz w:val="16"/>
                <w:szCs w:val="16"/>
              </w:rPr>
            </w:pPr>
            <w:r w:rsidRPr="00A81AD0">
              <w:rPr>
                <w:sz w:val="16"/>
                <w:szCs w:val="16"/>
              </w:rPr>
              <w:t>-Réaliser des expériences liées à la probabilité</w:t>
            </w:r>
          </w:p>
        </w:tc>
        <w:tc>
          <w:tcPr>
            <w:tcW w:w="2835" w:type="dxa"/>
            <w:tcBorders>
              <w:bottom w:val="single" w:sz="18" w:space="0" w:color="auto"/>
            </w:tcBorders>
          </w:tcPr>
          <w:p w:rsidR="00F56597" w:rsidRDefault="00F56597" w:rsidP="003B73AD"/>
          <w:p w:rsidR="00F56597" w:rsidRDefault="00F56597" w:rsidP="003B73A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B4BAC" wp14:editId="03E2D97C">
                  <wp:extent cx="750267" cy="561975"/>
                  <wp:effectExtent l="0" t="0" r="0" b="0"/>
                  <wp:docPr id="8" name="Image 8" descr="C:\Users\johanne.morin\AppData\Local\Microsoft\Windows\INetCache\Content.MSO\AE87AE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hanne.morin\AppData\Local\Microsoft\Windows\INetCache\Content.MSO\AE87AE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86" cy="57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BE0EEA" wp14:editId="064EE893">
                  <wp:extent cx="732846" cy="520177"/>
                  <wp:effectExtent l="0" t="0" r="0" b="0"/>
                  <wp:docPr id="7" name="Image 7" descr="Abaques de valeur de position - Brault &amp;amp; Bouthil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baques de valeur de position - Brault &amp;amp; Bouthilli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10" t="29887" r="16724" b="19554"/>
                          <a:stretch/>
                        </pic:blipFill>
                        <pic:spPr bwMode="auto">
                          <a:xfrm>
                            <a:off x="0" y="0"/>
                            <a:ext cx="754607" cy="53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6597" w:rsidRDefault="00F56597" w:rsidP="003B73AD"/>
          <w:p w:rsidR="00F56597" w:rsidRPr="00181CA2" w:rsidRDefault="00F56597" w:rsidP="003B73AD">
            <w:pPr>
              <w:rPr>
                <w:sz w:val="16"/>
                <w:szCs w:val="16"/>
              </w:rPr>
            </w:pPr>
            <w:r>
              <w:t>-</w:t>
            </w:r>
            <w:r w:rsidRPr="00181CA2">
              <w:rPr>
                <w:sz w:val="16"/>
                <w:szCs w:val="16"/>
              </w:rPr>
              <w:t>Représenter des nombres</w:t>
            </w:r>
          </w:p>
          <w:p w:rsidR="00F56597" w:rsidRPr="00181CA2" w:rsidRDefault="00F56597" w:rsidP="003B73AD">
            <w:pPr>
              <w:rPr>
                <w:sz w:val="16"/>
                <w:szCs w:val="16"/>
              </w:rPr>
            </w:pPr>
            <w:r w:rsidRPr="00181CA2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T</w:t>
            </w:r>
            <w:r w:rsidRPr="00181CA2">
              <w:rPr>
                <w:sz w:val="16"/>
                <w:szCs w:val="16"/>
              </w:rPr>
              <w:t>ravailler la valeur de position</w:t>
            </w:r>
          </w:p>
          <w:p w:rsidR="00F56597" w:rsidRPr="00181CA2" w:rsidRDefault="00F56597" w:rsidP="003B73AD">
            <w:pPr>
              <w:rPr>
                <w:sz w:val="16"/>
                <w:szCs w:val="16"/>
              </w:rPr>
            </w:pPr>
            <w:r w:rsidRPr="00181CA2">
              <w:rPr>
                <w:sz w:val="16"/>
                <w:szCs w:val="16"/>
              </w:rPr>
              <w:t>-Travailler le vocabulaire lié aux nombres</w:t>
            </w:r>
          </w:p>
          <w:p w:rsidR="00F56597" w:rsidRPr="00181CA2" w:rsidRDefault="00F56597" w:rsidP="003B73AD">
            <w:pPr>
              <w:rPr>
                <w:sz w:val="16"/>
                <w:szCs w:val="16"/>
              </w:rPr>
            </w:pPr>
            <w:r w:rsidRPr="00181CA2">
              <w:rPr>
                <w:sz w:val="16"/>
                <w:szCs w:val="16"/>
              </w:rPr>
              <w:t>-Effectuer des opérations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 w:rsidRPr="00181CA2">
              <w:rPr>
                <w:sz w:val="16"/>
                <w:szCs w:val="16"/>
              </w:rPr>
              <w:t>-Développer des stratégies de calcul mental</w:t>
            </w:r>
          </w:p>
          <w:p w:rsidR="00F56597" w:rsidRPr="00181CA2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-Boulier </w:t>
            </w:r>
            <w:proofErr w:type="spellStart"/>
            <w:r>
              <w:rPr>
                <w:sz w:val="16"/>
                <w:szCs w:val="16"/>
              </w:rPr>
              <w:t>Rekenrek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hyperlink r:id="rId8" w:history="1">
              <w:r w:rsidRPr="0081647A">
                <w:rPr>
                  <w:rStyle w:val="Lienhypertexte"/>
                  <w:sz w:val="16"/>
                  <w:szCs w:val="16"/>
                </w:rPr>
                <w:t>ICI</w:t>
              </w:r>
            </w:hyperlink>
          </w:p>
          <w:p w:rsidR="00F56597" w:rsidRDefault="00F56597" w:rsidP="003B73AD"/>
        </w:tc>
        <w:tc>
          <w:tcPr>
            <w:tcW w:w="2835" w:type="dxa"/>
            <w:tcBorders>
              <w:bottom w:val="single" w:sz="18" w:space="0" w:color="auto"/>
            </w:tcBorders>
          </w:tcPr>
          <w:p w:rsidR="00F56597" w:rsidRDefault="00F56597" w:rsidP="003B73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3D0068" wp14:editId="6B4567AD">
                  <wp:extent cx="847725" cy="847725"/>
                  <wp:effectExtent l="0" t="0" r="9525" b="9525"/>
                  <wp:docPr id="9" name="Image 9" descr="Les fractions au SMARTBOARD – Au bout des doig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s fractions au SMARTBOARD – Au bout des doig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597" w:rsidRDefault="00F56597" w:rsidP="003B73AD">
            <w:pPr>
              <w:jc w:val="center"/>
            </w:pP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1CA2">
              <w:rPr>
                <w:sz w:val="16"/>
                <w:szCs w:val="16"/>
              </w:rPr>
              <w:t xml:space="preserve">Représenter des </w:t>
            </w:r>
            <w:proofErr w:type="gramStart"/>
            <w:r w:rsidRPr="00181CA2">
              <w:rPr>
                <w:sz w:val="16"/>
                <w:szCs w:val="16"/>
              </w:rPr>
              <w:t xml:space="preserve">fractions </w:t>
            </w:r>
            <w:r>
              <w:rPr>
                <w:sz w:val="16"/>
                <w:szCs w:val="16"/>
              </w:rPr>
              <w:t xml:space="preserve"> (</w:t>
            </w:r>
            <w:proofErr w:type="gramEnd"/>
            <w:r>
              <w:rPr>
                <w:sz w:val="16"/>
                <w:szCs w:val="16"/>
              </w:rPr>
              <w:t>surface)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1CA2">
              <w:rPr>
                <w:sz w:val="16"/>
                <w:szCs w:val="16"/>
              </w:rPr>
              <w:t>Opérer sur les fractions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1CA2">
              <w:rPr>
                <w:sz w:val="16"/>
                <w:szCs w:val="16"/>
              </w:rPr>
              <w:t>Créer des frises et des dallages (réflexion, translation)</w:t>
            </w:r>
          </w:p>
          <w:p w:rsidR="00F56597" w:rsidRPr="00181CA2" w:rsidRDefault="00F56597" w:rsidP="003B73AD">
            <w:pPr>
              <w:rPr>
                <w:sz w:val="16"/>
                <w:szCs w:val="16"/>
              </w:rPr>
            </w:pPr>
          </w:p>
          <w:p w:rsidR="00F56597" w:rsidRPr="00181CA2" w:rsidRDefault="00F56597" w:rsidP="003B73AD">
            <w:pPr>
              <w:rPr>
                <w:sz w:val="16"/>
                <w:szCs w:val="16"/>
              </w:rPr>
            </w:pPr>
          </w:p>
          <w:p w:rsidR="00F56597" w:rsidRDefault="00F56597" w:rsidP="003B73AD"/>
        </w:tc>
        <w:tc>
          <w:tcPr>
            <w:tcW w:w="2835" w:type="dxa"/>
            <w:tcBorders>
              <w:bottom w:val="single" w:sz="18" w:space="0" w:color="auto"/>
            </w:tcBorders>
          </w:tcPr>
          <w:p w:rsidR="00F56597" w:rsidRDefault="00F56597" w:rsidP="003B73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A74624" wp14:editId="0C3ABB4F">
                  <wp:extent cx="704850" cy="687412"/>
                  <wp:effectExtent l="0" t="0" r="0" b="0"/>
                  <wp:docPr id="10" name="Image 10" descr="C:\Users\johanne.morin\AppData\Local\Microsoft\Windows\INetCache\Content.MSO\FD970F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hanne.morin\AppData\Local\Microsoft\Windows\INetCache\Content.MSO\FD970FA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5" r="18116"/>
                          <a:stretch/>
                        </pic:blipFill>
                        <pic:spPr bwMode="auto">
                          <a:xfrm>
                            <a:off x="0" y="0"/>
                            <a:ext cx="727415" cy="70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6597" w:rsidRDefault="00F56597" w:rsidP="003B73AD">
            <w:pPr>
              <w:jc w:val="center"/>
            </w:pPr>
          </w:p>
          <w:p w:rsidR="00F56597" w:rsidRPr="00181CA2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1CA2">
              <w:rPr>
                <w:sz w:val="16"/>
                <w:szCs w:val="16"/>
              </w:rPr>
              <w:t>Travailler le sens de la fraction</w:t>
            </w:r>
            <w:r>
              <w:rPr>
                <w:sz w:val="16"/>
                <w:szCs w:val="16"/>
              </w:rPr>
              <w:t xml:space="preserve"> (longueur)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1CA2">
              <w:rPr>
                <w:sz w:val="16"/>
                <w:szCs w:val="16"/>
              </w:rPr>
              <w:t>Opérer sur les fractions</w:t>
            </w:r>
          </w:p>
          <w:p w:rsidR="00F56597" w:rsidRP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181CA2">
              <w:rPr>
                <w:sz w:val="16"/>
                <w:szCs w:val="16"/>
              </w:rPr>
              <w:t>Représenter et</w:t>
            </w:r>
            <w:r>
              <w:rPr>
                <w:sz w:val="16"/>
                <w:szCs w:val="16"/>
              </w:rPr>
              <w:t xml:space="preserve"> </w:t>
            </w:r>
            <w:r w:rsidRPr="00181CA2">
              <w:rPr>
                <w:sz w:val="16"/>
                <w:szCs w:val="16"/>
              </w:rPr>
              <w:t>ordonner des fractions</w:t>
            </w:r>
          </w:p>
        </w:tc>
        <w:tc>
          <w:tcPr>
            <w:tcW w:w="2835" w:type="dxa"/>
            <w:tcBorders>
              <w:bottom w:val="single" w:sz="18" w:space="0" w:color="auto"/>
              <w:right w:val="single" w:sz="18" w:space="0" w:color="auto"/>
            </w:tcBorders>
          </w:tcPr>
          <w:p w:rsidR="00F56597" w:rsidRDefault="00F56597" w:rsidP="003B73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306C36" wp14:editId="10B43B65">
                  <wp:extent cx="717833" cy="647700"/>
                  <wp:effectExtent l="0" t="0" r="635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09" cy="65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597" w:rsidRDefault="00F56597" w:rsidP="003B73AD">
            <w:pPr>
              <w:jc w:val="center"/>
            </w:pPr>
          </w:p>
          <w:p w:rsidR="00F56597" w:rsidRPr="0073729C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73729C">
              <w:rPr>
                <w:sz w:val="16"/>
                <w:szCs w:val="16"/>
              </w:rPr>
              <w:t>Grouper et dégrouper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73729C">
              <w:rPr>
                <w:sz w:val="16"/>
                <w:szCs w:val="16"/>
              </w:rPr>
              <w:t xml:space="preserve">Faire des approximations </w:t>
            </w:r>
          </w:p>
          <w:p w:rsidR="00F56597" w:rsidRPr="0073729C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73729C">
              <w:rPr>
                <w:sz w:val="16"/>
                <w:szCs w:val="16"/>
              </w:rPr>
              <w:t>Travailler la fraction (collection)</w:t>
            </w:r>
          </w:p>
          <w:p w:rsidR="00F56597" w:rsidRPr="0073729C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73729C">
              <w:rPr>
                <w:sz w:val="16"/>
                <w:szCs w:val="16"/>
              </w:rPr>
              <w:t>Construire des fractions équivalentes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73729C">
              <w:rPr>
                <w:sz w:val="16"/>
                <w:szCs w:val="16"/>
              </w:rPr>
              <w:t>Mesurer (unités conventionnelles)</w:t>
            </w:r>
          </w:p>
          <w:p w:rsidR="00F56597" w:rsidRPr="0073729C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73729C">
              <w:rPr>
                <w:sz w:val="16"/>
                <w:szCs w:val="16"/>
              </w:rPr>
              <w:t>Représenter des diagrammes à bandes</w:t>
            </w:r>
          </w:p>
          <w:p w:rsidR="00F56597" w:rsidRPr="0073729C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73729C">
              <w:rPr>
                <w:sz w:val="16"/>
                <w:szCs w:val="16"/>
              </w:rPr>
              <w:t xml:space="preserve">Construire des </w:t>
            </w:r>
            <w:r>
              <w:rPr>
                <w:sz w:val="16"/>
                <w:szCs w:val="16"/>
              </w:rPr>
              <w:t>polyèdres</w:t>
            </w:r>
          </w:p>
          <w:p w:rsidR="00F56597" w:rsidRDefault="00F56597" w:rsidP="003B73AD"/>
        </w:tc>
      </w:tr>
      <w:tr w:rsidR="00F56597" w:rsidRPr="00C5742F" w:rsidTr="003B73AD">
        <w:tc>
          <w:tcPr>
            <w:tcW w:w="283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56597" w:rsidRPr="00C5742F" w:rsidRDefault="00F56597" w:rsidP="003B73AD">
            <w:pPr>
              <w:jc w:val="center"/>
              <w:rPr>
                <w:b/>
              </w:rPr>
            </w:pPr>
            <w:r w:rsidRPr="00C5742F">
              <w:rPr>
                <w:b/>
              </w:rPr>
              <w:t>Solides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vAlign w:val="center"/>
          </w:tcPr>
          <w:p w:rsidR="00F56597" w:rsidRPr="00C5742F" w:rsidRDefault="00F56597" w:rsidP="003B73A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Géoplan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vAlign w:val="center"/>
          </w:tcPr>
          <w:p w:rsidR="00F56597" w:rsidRPr="00C5742F" w:rsidRDefault="00F56597" w:rsidP="003B73AD">
            <w:pPr>
              <w:jc w:val="center"/>
              <w:rPr>
                <w:b/>
              </w:rPr>
            </w:pPr>
            <w:r w:rsidRPr="00C5742F">
              <w:rPr>
                <w:b/>
              </w:rPr>
              <w:t>Droites numériques non graduées ou du temps</w:t>
            </w:r>
            <w:r>
              <w:rPr>
                <w:b/>
              </w:rPr>
              <w:t>, disque des centièmes</w:t>
            </w:r>
            <w:r w:rsidRPr="00C5742F">
              <w:rPr>
                <w:b/>
              </w:rPr>
              <w:t xml:space="preserve"> et</w:t>
            </w:r>
          </w:p>
          <w:p w:rsidR="00F56597" w:rsidRPr="00C5742F" w:rsidRDefault="00F56597" w:rsidP="003B73AD">
            <w:pPr>
              <w:jc w:val="center"/>
              <w:rPr>
                <w:b/>
              </w:rPr>
            </w:pPr>
            <w:proofErr w:type="gramStart"/>
            <w:r w:rsidRPr="00C5742F">
              <w:rPr>
                <w:b/>
              </w:rPr>
              <w:t>bandes</w:t>
            </w:r>
            <w:proofErr w:type="gramEnd"/>
            <w:r w:rsidRPr="00C5742F">
              <w:rPr>
                <w:b/>
              </w:rPr>
              <w:t xml:space="preserve"> de carton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vAlign w:val="center"/>
          </w:tcPr>
          <w:p w:rsidR="00F56597" w:rsidRPr="00C5742F" w:rsidRDefault="00F56597" w:rsidP="003B73AD">
            <w:pPr>
              <w:jc w:val="center"/>
              <w:rPr>
                <w:b/>
              </w:rPr>
            </w:pPr>
            <w:r w:rsidRPr="00C5742F">
              <w:rPr>
                <w:b/>
              </w:rPr>
              <w:t>Grilles de nombres</w:t>
            </w:r>
            <w:r>
              <w:rPr>
                <w:b/>
              </w:rPr>
              <w:t>,</w:t>
            </w:r>
            <w:r w:rsidRPr="00C5742F">
              <w:rPr>
                <w:b/>
              </w:rPr>
              <w:t xml:space="preserve"> grilles vierges</w:t>
            </w:r>
            <w:r>
              <w:rPr>
                <w:b/>
              </w:rPr>
              <w:t>, table de Pythagore</w:t>
            </w:r>
          </w:p>
        </w:tc>
        <w:tc>
          <w:tcPr>
            <w:tcW w:w="28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56597" w:rsidRPr="00C5742F" w:rsidRDefault="00F56597" w:rsidP="003B73AD">
            <w:pPr>
              <w:jc w:val="center"/>
              <w:rPr>
                <w:b/>
              </w:rPr>
            </w:pPr>
            <w:r>
              <w:rPr>
                <w:b/>
              </w:rPr>
              <w:t>Blocs base 10 et t</w:t>
            </w:r>
            <w:r w:rsidRPr="00C5742F">
              <w:rPr>
                <w:b/>
              </w:rPr>
              <w:t>ableaux et</w:t>
            </w:r>
          </w:p>
          <w:p w:rsidR="00F56597" w:rsidRPr="00C5742F" w:rsidRDefault="00F56597" w:rsidP="003B73AD">
            <w:pPr>
              <w:jc w:val="center"/>
              <w:rPr>
                <w:b/>
              </w:rPr>
            </w:pPr>
            <w:proofErr w:type="gramStart"/>
            <w:r w:rsidRPr="00C5742F">
              <w:rPr>
                <w:b/>
              </w:rPr>
              <w:t>papier</w:t>
            </w:r>
            <w:proofErr w:type="gramEnd"/>
            <w:r w:rsidRPr="00C5742F">
              <w:rPr>
                <w:b/>
              </w:rPr>
              <w:t xml:space="preserve"> à plier </w:t>
            </w:r>
          </w:p>
        </w:tc>
      </w:tr>
      <w:tr w:rsidR="00F56597" w:rsidTr="003B73AD">
        <w:trPr>
          <w:trHeight w:val="1540"/>
        </w:trPr>
        <w:tc>
          <w:tcPr>
            <w:tcW w:w="2835" w:type="dxa"/>
            <w:tcBorders>
              <w:left w:val="single" w:sz="18" w:space="0" w:color="auto"/>
              <w:bottom w:val="single" w:sz="18" w:space="0" w:color="auto"/>
            </w:tcBorders>
          </w:tcPr>
          <w:p w:rsidR="00F56597" w:rsidRDefault="00F56597" w:rsidP="003B73AD">
            <w:r>
              <w:rPr>
                <w:noProof/>
              </w:rPr>
              <w:drawing>
                <wp:inline distT="0" distB="0" distL="0" distR="0" wp14:anchorId="6D575B1E" wp14:editId="4B4F8E66">
                  <wp:extent cx="1543050" cy="856907"/>
                  <wp:effectExtent l="0" t="0" r="0" b="635"/>
                  <wp:docPr id="11" name="Image 11" descr="Kit des solides géométrique transparent, par Learning Resources | Walmart  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it des solides géométrique transparent, par Learning Resources | Walmart  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04" cy="86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597" w:rsidRDefault="00F56597" w:rsidP="003B73AD"/>
          <w:p w:rsidR="00F56597" w:rsidRPr="008769AC" w:rsidRDefault="00F56597" w:rsidP="003B73AD">
            <w:pPr>
              <w:rPr>
                <w:sz w:val="16"/>
                <w:szCs w:val="16"/>
              </w:rPr>
            </w:pPr>
            <w:r w:rsidRPr="008769AC">
              <w:rPr>
                <w:sz w:val="16"/>
                <w:szCs w:val="16"/>
              </w:rPr>
              <w:t>-Classifier des solides</w:t>
            </w:r>
          </w:p>
          <w:p w:rsidR="00F56597" w:rsidRPr="008769AC" w:rsidRDefault="00F56597" w:rsidP="003B73AD">
            <w:pPr>
              <w:rPr>
                <w:sz w:val="16"/>
                <w:szCs w:val="16"/>
              </w:rPr>
            </w:pPr>
            <w:r w:rsidRPr="008769AC">
              <w:rPr>
                <w:sz w:val="16"/>
                <w:szCs w:val="16"/>
              </w:rPr>
              <w:t xml:space="preserve">-Décrire des solides </w:t>
            </w:r>
          </w:p>
          <w:p w:rsidR="00F56597" w:rsidRPr="008769AC" w:rsidRDefault="00F56597" w:rsidP="003B73AD">
            <w:pPr>
              <w:rPr>
                <w:sz w:val="16"/>
                <w:szCs w:val="16"/>
              </w:rPr>
            </w:pPr>
            <w:r w:rsidRPr="008769AC">
              <w:rPr>
                <w:sz w:val="16"/>
                <w:szCs w:val="16"/>
              </w:rPr>
              <w:t>-Comparer des solides</w:t>
            </w:r>
          </w:p>
          <w:p w:rsidR="00F56597" w:rsidRPr="008769AC" w:rsidRDefault="00F56597" w:rsidP="003B73AD">
            <w:pPr>
              <w:rPr>
                <w:sz w:val="16"/>
                <w:szCs w:val="16"/>
              </w:rPr>
            </w:pPr>
            <w:r w:rsidRPr="008769AC">
              <w:rPr>
                <w:sz w:val="16"/>
                <w:szCs w:val="16"/>
              </w:rPr>
              <w:t>-Aborder la relation d’Euler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 w:rsidRPr="005E7D9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Développer des </w:t>
            </w:r>
            <w:r w:rsidRPr="005E7D9F">
              <w:rPr>
                <w:sz w:val="16"/>
                <w:szCs w:val="16"/>
              </w:rPr>
              <w:t xml:space="preserve"> polyèdres</w:t>
            </w:r>
            <w:hyperlink r:id="rId13" w:anchor="prismes" w:history="1">
              <w:r w:rsidRPr="005E7D9F">
                <w:rPr>
                  <w:rStyle w:val="Lienhypertexte"/>
                  <w:sz w:val="16"/>
                  <w:szCs w:val="16"/>
                </w:rPr>
                <w:t xml:space="preserve"> ICI</w:t>
              </w:r>
            </w:hyperlink>
            <w:r w:rsidRPr="005E7D9F">
              <w:rPr>
                <w:sz w:val="16"/>
                <w:szCs w:val="16"/>
              </w:rPr>
              <w:t xml:space="preserve"> et </w:t>
            </w:r>
            <w:hyperlink r:id="rId14" w:history="1">
              <w:r w:rsidRPr="005E7D9F">
                <w:rPr>
                  <w:rStyle w:val="Lienhypertexte"/>
                  <w:sz w:val="16"/>
                  <w:szCs w:val="16"/>
                </w:rPr>
                <w:t>ICI</w:t>
              </w:r>
            </w:hyperlink>
          </w:p>
          <w:p w:rsidR="00F56597" w:rsidRDefault="00F56597" w:rsidP="003B73AD">
            <w:r w:rsidRPr="008769AC">
              <w:rPr>
                <w:sz w:val="16"/>
                <w:szCs w:val="16"/>
              </w:rPr>
              <w:t>-Estimer et mesure des volumes</w:t>
            </w:r>
            <w:r>
              <w:t xml:space="preserve"> </w:t>
            </w:r>
          </w:p>
          <w:p w:rsidR="00F56597" w:rsidRPr="005E7D9F" w:rsidRDefault="00F56597" w:rsidP="003B73AD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bottom w:val="single" w:sz="18" w:space="0" w:color="auto"/>
            </w:tcBorders>
          </w:tcPr>
          <w:p w:rsidR="00F56597" w:rsidRDefault="00F56597" w:rsidP="003B73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6CCAD" wp14:editId="73B6D8B8">
                  <wp:extent cx="1123950" cy="842963"/>
                  <wp:effectExtent l="0" t="0" r="0" b="0"/>
                  <wp:docPr id="42" name="Image 42" descr="File:Quadrate auf dem Geobrett Schrägsicht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Quadrate auf dem Geobrett Schrägsicht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44" cy="84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597" w:rsidRDefault="00F56597" w:rsidP="003B73AD">
            <w:pPr>
              <w:jc w:val="center"/>
            </w:pPr>
          </w:p>
          <w:p w:rsidR="00F56597" w:rsidRPr="005B5B28" w:rsidRDefault="00F56597" w:rsidP="003B73AD">
            <w:pPr>
              <w:rPr>
                <w:sz w:val="16"/>
                <w:szCs w:val="16"/>
              </w:rPr>
            </w:pPr>
            <w:r w:rsidRPr="005B5B28">
              <w:rPr>
                <w:sz w:val="16"/>
                <w:szCs w:val="16"/>
              </w:rPr>
              <w:t>-Tracer et observer des figures planes</w:t>
            </w:r>
          </w:p>
          <w:p w:rsidR="00F56597" w:rsidRPr="005B5B28" w:rsidRDefault="00F56597" w:rsidP="003B73AD">
            <w:pPr>
              <w:rPr>
                <w:sz w:val="16"/>
                <w:szCs w:val="16"/>
              </w:rPr>
            </w:pPr>
            <w:r w:rsidRPr="005B5B28">
              <w:rPr>
                <w:sz w:val="16"/>
                <w:szCs w:val="16"/>
              </w:rPr>
              <w:t>-Travailler l’aire et le périmètre</w:t>
            </w:r>
          </w:p>
          <w:p w:rsidR="00F56597" w:rsidRPr="005B5B28" w:rsidRDefault="00F56597" w:rsidP="003B73AD">
            <w:pPr>
              <w:rPr>
                <w:sz w:val="16"/>
                <w:szCs w:val="16"/>
              </w:rPr>
            </w:pPr>
            <w:r w:rsidRPr="005B5B28">
              <w:rPr>
                <w:sz w:val="16"/>
                <w:szCs w:val="16"/>
              </w:rPr>
              <w:t>-Représenter des fractions</w:t>
            </w:r>
          </w:p>
          <w:p w:rsidR="00F56597" w:rsidRPr="005B5B28" w:rsidRDefault="00F56597" w:rsidP="003B73AD">
            <w:pPr>
              <w:rPr>
                <w:sz w:val="16"/>
                <w:szCs w:val="16"/>
              </w:rPr>
            </w:pPr>
            <w:r w:rsidRPr="005B5B28">
              <w:rPr>
                <w:sz w:val="16"/>
                <w:szCs w:val="16"/>
              </w:rPr>
              <w:t>-Opérer sur des fractions</w:t>
            </w:r>
          </w:p>
          <w:p w:rsidR="00F56597" w:rsidRDefault="00F56597" w:rsidP="003B73AD">
            <w:r w:rsidRPr="008769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tcBorders>
              <w:bottom w:val="single" w:sz="18" w:space="0" w:color="auto"/>
            </w:tcBorders>
          </w:tcPr>
          <w:p w:rsidR="00F56597" w:rsidRDefault="00F56597" w:rsidP="003B73AD">
            <w:r>
              <w:rPr>
                <w:noProof/>
              </w:rPr>
              <w:drawing>
                <wp:inline distT="0" distB="0" distL="0" distR="0" wp14:anchorId="48A4FCCF" wp14:editId="7C8375AD">
                  <wp:extent cx="952500" cy="690635"/>
                  <wp:effectExtent l="0" t="0" r="0" b="0"/>
                  <wp:docPr id="13" name="Image 13" descr="Jeux de cartes de représent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eux de cartes de représent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23" cy="70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465DF0" wp14:editId="588EB633">
                  <wp:extent cx="584096" cy="694678"/>
                  <wp:effectExtent l="0" t="0" r="6985" b="0"/>
                  <wp:docPr id="39" name="Image 39" descr="C:\Users\johanne.morin\AppData\Local\Microsoft\Windows\INetCache\Content.MSO\8872598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anne.morin\AppData\Local\Microsoft\Windows\INetCache\Content.MSO\8872598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68" cy="71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</w:p>
          <w:p w:rsidR="00F56597" w:rsidRDefault="00F56597" w:rsidP="003B73AD">
            <w:pPr>
              <w:rPr>
                <w:sz w:val="16"/>
                <w:szCs w:val="16"/>
              </w:rPr>
            </w:pPr>
            <w:r w:rsidRPr="00FD2ADF">
              <w:rPr>
                <w:sz w:val="16"/>
                <w:szCs w:val="16"/>
              </w:rPr>
              <w:t>-Représenter, associer et comparer des nombres décimaux, des fractions</w:t>
            </w:r>
            <w:r>
              <w:rPr>
                <w:sz w:val="16"/>
                <w:szCs w:val="16"/>
              </w:rPr>
              <w:t xml:space="preserve"> (longueur et surface)</w:t>
            </w:r>
            <w:r w:rsidRPr="00FD2ADF">
              <w:rPr>
                <w:sz w:val="16"/>
                <w:szCs w:val="16"/>
              </w:rPr>
              <w:t>, des pourcentages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4B3F35">
              <w:rPr>
                <w:sz w:val="16"/>
                <w:szCs w:val="16"/>
              </w:rPr>
              <w:t>Corde à linge pour la droite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</w:p>
          <w:p w:rsidR="00F56597" w:rsidRPr="00FD2ADF" w:rsidRDefault="00F56597" w:rsidP="003B73A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Disque des centièmes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 w:rsidRPr="00FD2ADF">
              <w:rPr>
                <w:sz w:val="16"/>
                <w:szCs w:val="16"/>
              </w:rPr>
              <w:t>-Représenter, associer et comparer des nombres décimaux, des fractions, des pourcentages</w:t>
            </w:r>
          </w:p>
          <w:p w:rsidR="00F56597" w:rsidRPr="004B3F35" w:rsidRDefault="00F56597" w:rsidP="003B73AD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bottom w:val="single" w:sz="18" w:space="0" w:color="auto"/>
            </w:tcBorders>
          </w:tcPr>
          <w:p w:rsidR="00F56597" w:rsidRDefault="00F56597" w:rsidP="003B73AD">
            <w:pPr>
              <w:jc w:val="center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264" behindDoc="0" locked="0" layoutInCell="1" allowOverlap="1" wp14:anchorId="75F09F96" wp14:editId="2B272E4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0</wp:posOffset>
                  </wp:positionV>
                  <wp:extent cx="629285" cy="561975"/>
                  <wp:effectExtent l="0" t="0" r="0" b="9525"/>
                  <wp:wrapThrough wrapText="bothSides">
                    <wp:wrapPolygon edited="0">
                      <wp:start x="0" y="0"/>
                      <wp:lineTo x="0" y="21234"/>
                      <wp:lineTo x="20924" y="21234"/>
                      <wp:lineTo x="20924" y="0"/>
                      <wp:lineTo x="0" y="0"/>
                    </wp:wrapPolygon>
                  </wp:wrapThrough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926820E" wp14:editId="75581206">
                  <wp:extent cx="776501" cy="561975"/>
                  <wp:effectExtent l="0" t="0" r="508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857" cy="57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</w:p>
          <w:p w:rsidR="00F56597" w:rsidRPr="0081647A" w:rsidRDefault="00F56597" w:rsidP="003B73AD">
            <w:pPr>
              <w:rPr>
                <w:sz w:val="16"/>
                <w:szCs w:val="16"/>
              </w:rPr>
            </w:pPr>
            <w:r w:rsidRPr="0081647A">
              <w:rPr>
                <w:sz w:val="16"/>
                <w:szCs w:val="16"/>
              </w:rPr>
              <w:t>-Calcul mental </w:t>
            </w:r>
            <w:hyperlink r:id="rId20" w:history="1">
              <w:r w:rsidRPr="0081647A">
                <w:rPr>
                  <w:rStyle w:val="Lienhypertexte"/>
                  <w:sz w:val="16"/>
                  <w:szCs w:val="16"/>
                </w:rPr>
                <w:t>ICI</w:t>
              </w:r>
            </w:hyperlink>
          </w:p>
          <w:p w:rsidR="00F56597" w:rsidRDefault="00F56597" w:rsidP="003B73AD">
            <w:pPr>
              <w:rPr>
                <w:sz w:val="16"/>
                <w:szCs w:val="16"/>
              </w:rPr>
            </w:pPr>
            <w:r w:rsidRPr="0081647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Grilles des 1000 premiers nombres </w:t>
            </w:r>
            <w:hyperlink r:id="rId21" w:history="1">
              <w:r w:rsidRPr="0073729C">
                <w:rPr>
                  <w:rStyle w:val="Lienhypertexte"/>
                  <w:sz w:val="16"/>
                  <w:szCs w:val="16"/>
                </w:rPr>
                <w:t>ICI</w:t>
              </w:r>
            </w:hyperlink>
          </w:p>
          <w:p w:rsidR="00F56597" w:rsidRPr="0081647A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-Table de Pythagore (10 x 0) </w:t>
            </w:r>
            <w:hyperlink r:id="rId22" w:history="1">
              <w:r w:rsidRPr="00F56597">
                <w:rPr>
                  <w:rStyle w:val="Lienhypertexte"/>
                  <w:sz w:val="16"/>
                  <w:szCs w:val="16"/>
                </w:rPr>
                <w:t>ICI</w:t>
              </w:r>
            </w:hyperlink>
          </w:p>
          <w:p w:rsidR="00F56597" w:rsidRDefault="00F56597" w:rsidP="003B73AD"/>
          <w:p w:rsidR="00F56597" w:rsidRDefault="00F56597" w:rsidP="003B73AD"/>
        </w:tc>
        <w:tc>
          <w:tcPr>
            <w:tcW w:w="2835" w:type="dxa"/>
            <w:tcBorders>
              <w:bottom w:val="single" w:sz="18" w:space="0" w:color="auto"/>
              <w:right w:val="single" w:sz="18" w:space="0" w:color="auto"/>
            </w:tcBorders>
          </w:tcPr>
          <w:p w:rsidR="00F56597" w:rsidRDefault="00F56597" w:rsidP="003B73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B86032" wp14:editId="124F4D49">
                  <wp:extent cx="390525" cy="390525"/>
                  <wp:effectExtent l="0" t="0" r="9525" b="9525"/>
                  <wp:docPr id="41" name="Image 41" descr="Blocs de base 10 en couleur - CDS Bou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ocs de base 10 en couleur - CDS Bou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54AB4F" wp14:editId="563CBB9B">
                  <wp:extent cx="1114425" cy="414669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811" cy="43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6597" w:rsidRDefault="00F56597" w:rsidP="003B73A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Blocs base 10</w:t>
            </w:r>
            <w:r>
              <w:rPr>
                <w:b/>
                <w:sz w:val="16"/>
                <w:szCs w:val="16"/>
              </w:rPr>
              <w:t xml:space="preserve"> et tableau</w:t>
            </w:r>
          </w:p>
          <w:p w:rsidR="00F56597" w:rsidRPr="008769AC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8769AC">
              <w:rPr>
                <w:sz w:val="16"/>
                <w:szCs w:val="16"/>
              </w:rPr>
              <w:t>Faire des échanges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8769AC">
              <w:rPr>
                <w:sz w:val="16"/>
                <w:szCs w:val="16"/>
              </w:rPr>
              <w:t>Effectuer des opérations Représenter des nombres naturels et décimaux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8769AC">
              <w:rPr>
                <w:sz w:val="16"/>
                <w:szCs w:val="16"/>
              </w:rPr>
              <w:t xml:space="preserve">Représenter </w:t>
            </w:r>
            <w:r>
              <w:rPr>
                <w:sz w:val="16"/>
                <w:szCs w:val="16"/>
              </w:rPr>
              <w:t>des</w:t>
            </w:r>
            <w:r w:rsidRPr="008769AC">
              <w:rPr>
                <w:sz w:val="16"/>
                <w:szCs w:val="16"/>
              </w:rPr>
              <w:t xml:space="preserve"> fraction</w:t>
            </w:r>
            <w:r>
              <w:rPr>
                <w:sz w:val="16"/>
                <w:szCs w:val="16"/>
              </w:rPr>
              <w:t>s</w:t>
            </w:r>
            <w:r w:rsidRPr="008769AC">
              <w:rPr>
                <w:sz w:val="16"/>
                <w:szCs w:val="16"/>
              </w:rPr>
              <w:t xml:space="preserve"> 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8769AC">
              <w:rPr>
                <w:sz w:val="16"/>
                <w:szCs w:val="16"/>
              </w:rPr>
              <w:t>Construire des fractions équivalentes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-Matériel virtuel </w:t>
            </w:r>
            <w:hyperlink r:id="rId25" w:history="1">
              <w:r w:rsidRPr="008769AC">
                <w:rPr>
                  <w:rStyle w:val="Lienhypertexte"/>
                  <w:sz w:val="16"/>
                  <w:szCs w:val="16"/>
                </w:rPr>
                <w:t>ICI</w:t>
              </w:r>
            </w:hyperlink>
            <w:r w:rsidRPr="008769AC">
              <w:rPr>
                <w:sz w:val="16"/>
                <w:szCs w:val="16"/>
              </w:rPr>
              <w:t xml:space="preserve"> </w:t>
            </w:r>
          </w:p>
          <w:p w:rsidR="00F56597" w:rsidRDefault="00F56597" w:rsidP="003B73AD">
            <w:pPr>
              <w:rPr>
                <w:b/>
                <w:sz w:val="16"/>
                <w:szCs w:val="16"/>
              </w:rPr>
            </w:pP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-Papier à plier pour les fractions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-Papier ciré pour l’ouverture d’un angle</w:t>
            </w:r>
          </w:p>
          <w:p w:rsidR="00F56597" w:rsidRDefault="00F56597" w:rsidP="003B73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-Tableau relations unités de mesure</w:t>
            </w:r>
          </w:p>
          <w:p w:rsidR="00F56597" w:rsidRDefault="00F56597" w:rsidP="003B73AD">
            <w:r>
              <w:t xml:space="preserve"> </w:t>
            </w:r>
          </w:p>
        </w:tc>
      </w:tr>
    </w:tbl>
    <w:p w:rsidR="00BC1D74" w:rsidRDefault="00BC1D74" w:rsidP="00F56597">
      <w:pPr>
        <w:ind w:left="426"/>
      </w:pPr>
    </w:p>
    <w:p w:rsidR="00202054" w:rsidRDefault="00202054" w:rsidP="00F56597">
      <w:pPr>
        <w:ind w:left="426"/>
      </w:pPr>
      <w:bookmarkStart w:id="0" w:name="_GoBack"/>
      <w:r>
        <w:rPr>
          <w:i/>
          <w:sz w:val="20"/>
          <w:szCs w:val="20"/>
        </w:rPr>
        <w:t>Raisonnement et matériel_</w:t>
      </w:r>
      <w:r w:rsidR="00C3042D">
        <w:rPr>
          <w:i/>
          <w:sz w:val="20"/>
          <w:szCs w:val="20"/>
        </w:rPr>
        <w:t>tableau10_</w:t>
      </w:r>
      <w:r>
        <w:rPr>
          <w:i/>
          <w:sz w:val="20"/>
          <w:szCs w:val="20"/>
        </w:rPr>
        <w:t>3</w:t>
      </w:r>
      <w:r w:rsidRPr="00333E39">
        <w:rPr>
          <w:i/>
          <w:sz w:val="20"/>
          <w:szCs w:val="20"/>
          <w:vertAlign w:val="superscript"/>
        </w:rPr>
        <w:t>e</w:t>
      </w:r>
      <w:r>
        <w:rPr>
          <w:i/>
          <w:sz w:val="20"/>
          <w:szCs w:val="20"/>
        </w:rPr>
        <w:t xml:space="preserve"> cycle</w:t>
      </w:r>
      <w:r w:rsidRPr="00C5742F">
        <w:rPr>
          <w:i/>
          <w:sz w:val="20"/>
          <w:szCs w:val="20"/>
        </w:rPr>
        <w:t>_JM_CSSBE_septembre</w:t>
      </w:r>
      <w:r w:rsidR="00C3042D">
        <w:rPr>
          <w:i/>
          <w:sz w:val="20"/>
          <w:szCs w:val="20"/>
        </w:rPr>
        <w:t>2021</w:t>
      </w:r>
      <w:bookmarkEnd w:id="0"/>
    </w:p>
    <w:sectPr w:rsidR="00202054" w:rsidSect="00F56597">
      <w:pgSz w:w="15840" w:h="12240" w:orient="landscape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597"/>
    <w:rsid w:val="00202054"/>
    <w:rsid w:val="00BC1D74"/>
    <w:rsid w:val="00C3042D"/>
    <w:rsid w:val="00F5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3C370"/>
  <w15:chartTrackingRefBased/>
  <w15:docId w15:val="{AE897777-0887-4BEA-B186-A943FD4A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65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56597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56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F56597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56597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56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.csbe.qc.ca/mathprimaire/2019/12/11/subitisation-et-boulier-rekenrek/" TargetMode="External"/><Relationship Id="rId13" Type="http://schemas.openxmlformats.org/officeDocument/2006/relationships/hyperlink" Target="https://www.alloprof.qc.ca/fr/eleves/bv/mathematiques/le-developpement-et-le-dessin-de-prismes-m1233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se.csbe.qc.ca/mathprimaire/files/2020/08/Grilles_nombres-1-1000_CSBE_SE_JM_2018.pd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s://micetf.fr/numop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se.csbe.qc.ca/mathprimaire/2021/01/08/fluidite-et-calcul-mental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hyperlink" Target="https://se.csbe.qc.ca/mathprimaire/2020/08/28/larmoire-math-interactive-web/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se.csbe.qc.ca/mathprimaire/files/2020/08/Developpements-solides-JM_CSSBE_2021.pdf" TargetMode="External"/><Relationship Id="rId22" Type="http://schemas.openxmlformats.org/officeDocument/2006/relationships/hyperlink" Target="https://se.csbe.qc.ca/mathprimaire/files/2020/02/Table-de-pythagore-10-x-10-_-JM_-CSBE_2021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Morin Johanne</dc:creator>
  <cp:keywords/>
  <dc:description/>
  <cp:lastModifiedBy>Morin Johanne</cp:lastModifiedBy>
  <cp:revision>1</cp:revision>
  <dcterms:created xsi:type="dcterms:W3CDTF">2021-09-24T18:41:00Z</dcterms:created>
  <dcterms:modified xsi:type="dcterms:W3CDTF">2021-09-24T19:13:00Z</dcterms:modified>
</cp:coreProperties>
</file>